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A0B13" w14:textId="39D046A7" w:rsidR="00C52F68" w:rsidRDefault="00905F8D" w:rsidP="003B120A">
      <w:pPr>
        <w:spacing w:after="60"/>
        <w:jc w:val="center"/>
        <w:rPr>
          <w:smallCaps/>
        </w:rPr>
      </w:pPr>
      <w:r>
        <w:rPr>
          <w:smallCaps/>
        </w:rPr>
        <w:t xml:space="preserve">Example </w:t>
      </w:r>
      <w:r w:rsidR="0066523C" w:rsidRPr="00D65A2F">
        <w:rPr>
          <w:smallCaps/>
        </w:rPr>
        <w:t>Assessment Plan</w:t>
      </w:r>
      <w:r w:rsidR="00C52F68" w:rsidRPr="00D65A2F">
        <w:rPr>
          <w:smallCaps/>
        </w:rPr>
        <w:t xml:space="preserve"> </w:t>
      </w:r>
      <w:r>
        <w:rPr>
          <w:smallCaps/>
        </w:rPr>
        <w:t>for Academic Programs</w:t>
      </w:r>
      <w:r w:rsidR="00A11576">
        <w:rPr>
          <w:smallCaps/>
        </w:rPr>
        <w:t xml:space="preserve"> – Humanities</w:t>
      </w:r>
    </w:p>
    <w:p w14:paraId="4EE7A694" w14:textId="77777777" w:rsidR="001E34A2" w:rsidRPr="00D65A2F" w:rsidRDefault="001E34A2" w:rsidP="003B120A">
      <w:pPr>
        <w:spacing w:after="60"/>
        <w:jc w:val="center"/>
        <w:rPr>
          <w:smallCaps/>
        </w:rPr>
      </w:pPr>
      <w:r>
        <w:rPr>
          <w:smallCaps/>
        </w:rPr>
        <w:t>Including Student Learning, Educational Program and Student Achievement Outcomes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12078"/>
      </w:tblGrid>
      <w:tr w:rsidR="00C52F68" w:rsidRPr="00CE6A17" w14:paraId="5FBF7619" w14:textId="77777777" w:rsidTr="00CE6A17">
        <w:tc>
          <w:tcPr>
            <w:tcW w:w="2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EE4AF7" w14:textId="77777777" w:rsidR="00C52F68" w:rsidRPr="00CE6A17" w:rsidRDefault="00C52F68" w:rsidP="00CE6A17">
            <w:pPr>
              <w:jc w:val="right"/>
              <w:rPr>
                <w:sz w:val="20"/>
              </w:rPr>
            </w:pPr>
            <w:r w:rsidRPr="00CE6A17">
              <w:rPr>
                <w:sz w:val="20"/>
              </w:rPr>
              <w:t>Program/Unit Name</w:t>
            </w:r>
          </w:p>
        </w:tc>
        <w:tc>
          <w:tcPr>
            <w:tcW w:w="12078" w:type="dxa"/>
            <w:shd w:val="clear" w:color="auto" w:fill="auto"/>
          </w:tcPr>
          <w:p w14:paraId="7BBEBF57" w14:textId="167C8DB9" w:rsidR="00C52F68" w:rsidRPr="00CE6A17" w:rsidRDefault="008D356E">
            <w:r>
              <w:t>American Sign Language</w:t>
            </w:r>
            <w:r w:rsidR="00905F8D">
              <w:t>, B.A.</w:t>
            </w:r>
          </w:p>
        </w:tc>
      </w:tr>
      <w:tr w:rsidR="00C52F68" w:rsidRPr="00CE6A17" w14:paraId="2BC656AE" w14:textId="77777777" w:rsidTr="00CE6A17">
        <w:trPr>
          <w:trHeight w:val="548"/>
        </w:trPr>
        <w:tc>
          <w:tcPr>
            <w:tcW w:w="2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2282E9" w14:textId="77777777" w:rsidR="00C52F68" w:rsidRPr="00CE6A17" w:rsidRDefault="00C52F68" w:rsidP="00905F8D">
            <w:pPr>
              <w:jc w:val="right"/>
              <w:rPr>
                <w:sz w:val="20"/>
              </w:rPr>
            </w:pPr>
            <w:r w:rsidRPr="00CE6A17">
              <w:rPr>
                <w:sz w:val="20"/>
              </w:rPr>
              <w:t>Description of Faculty Involvement</w:t>
            </w:r>
          </w:p>
        </w:tc>
        <w:tc>
          <w:tcPr>
            <w:tcW w:w="12078" w:type="dxa"/>
            <w:shd w:val="clear" w:color="auto" w:fill="auto"/>
          </w:tcPr>
          <w:p w14:paraId="7A04F8B6" w14:textId="3D0B9854" w:rsidR="00C52F68" w:rsidRPr="00CE6A17" w:rsidRDefault="00905F8D" w:rsidP="009A6857">
            <w:r>
              <w:t xml:space="preserve">The </w:t>
            </w:r>
            <w:r w:rsidR="009A6857">
              <w:t>ASL</w:t>
            </w:r>
            <w:r>
              <w:t xml:space="preserve"> faculty meet regularly to develop outcomes, assess the extent to which those outcomes are achieved and implement improvements based on that assessment. A subgroup of </w:t>
            </w:r>
            <w:r w:rsidR="009A6857">
              <w:t>ASL</w:t>
            </w:r>
            <w:r>
              <w:t xml:space="preserve"> faculty belong</w:t>
            </w:r>
            <w:r w:rsidR="00A02322">
              <w:t>s</w:t>
            </w:r>
            <w:r>
              <w:t xml:space="preserve"> to the assessment committee </w:t>
            </w:r>
            <w:r w:rsidR="00A02322">
              <w:t>that</w:t>
            </w:r>
            <w:r>
              <w:t xml:space="preserve"> oversees this process. During the firs</w:t>
            </w:r>
            <w:r w:rsidR="00401828">
              <w:t>t spring faculty meeting in 2015-2016</w:t>
            </w:r>
            <w:r>
              <w:t xml:space="preserve">, the current outcomes and means of assessment were approved.   </w:t>
            </w:r>
          </w:p>
        </w:tc>
      </w:tr>
    </w:tbl>
    <w:p w14:paraId="72F80EB9" w14:textId="77777777" w:rsidR="00C52F68" w:rsidRDefault="00C52F68" w:rsidP="00C52F68">
      <w:pPr>
        <w:spacing w:line="12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2880"/>
        <w:gridCol w:w="5850"/>
        <w:gridCol w:w="3690"/>
      </w:tblGrid>
      <w:tr w:rsidR="00CE6A17" w:rsidRPr="00CE6A17" w14:paraId="35909168" w14:textId="77777777" w:rsidTr="00A46650">
        <w:tc>
          <w:tcPr>
            <w:tcW w:w="1998" w:type="dxa"/>
            <w:shd w:val="clear" w:color="auto" w:fill="auto"/>
          </w:tcPr>
          <w:p w14:paraId="3159D448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Outcome Names</w:t>
            </w:r>
            <w:r w:rsidR="0066523C" w:rsidRPr="00CE6A17">
              <w:rPr>
                <w:sz w:val="20"/>
              </w:rPr>
              <w:br/>
              <w:t>(short)</w:t>
            </w:r>
          </w:p>
        </w:tc>
        <w:tc>
          <w:tcPr>
            <w:tcW w:w="2880" w:type="dxa"/>
            <w:shd w:val="clear" w:color="auto" w:fill="auto"/>
          </w:tcPr>
          <w:p w14:paraId="5E319869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Outcomes</w:t>
            </w:r>
            <w:r w:rsidR="0066523C" w:rsidRPr="00CE6A17">
              <w:rPr>
                <w:sz w:val="20"/>
              </w:rPr>
              <w:br/>
              <w:t>(Service or Student Learning)</w:t>
            </w:r>
          </w:p>
        </w:tc>
        <w:tc>
          <w:tcPr>
            <w:tcW w:w="5850" w:type="dxa"/>
            <w:shd w:val="clear" w:color="auto" w:fill="auto"/>
          </w:tcPr>
          <w:p w14:paraId="2FB0CE36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Means of Assessment</w:t>
            </w:r>
            <w:r w:rsidR="0066523C" w:rsidRPr="00CE6A17">
              <w:rPr>
                <w:sz w:val="20"/>
              </w:rPr>
              <w:br/>
            </w:r>
            <w:r w:rsidR="0066523C" w:rsidRPr="00CE6A17">
              <w:rPr>
                <w:sz w:val="18"/>
              </w:rPr>
              <w:t>(what will be assessed, by whom, when, and how)</w:t>
            </w:r>
          </w:p>
        </w:tc>
        <w:tc>
          <w:tcPr>
            <w:tcW w:w="3690" w:type="dxa"/>
            <w:shd w:val="clear" w:color="auto" w:fill="auto"/>
          </w:tcPr>
          <w:p w14:paraId="2CE3ADD5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Criteria for Success</w:t>
            </w:r>
            <w:r w:rsidR="0066523C" w:rsidRPr="00CE6A17">
              <w:rPr>
                <w:sz w:val="20"/>
              </w:rPr>
              <w:br/>
              <w:t>(standard of excellence)</w:t>
            </w:r>
          </w:p>
        </w:tc>
      </w:tr>
      <w:tr w:rsidR="001E34A2" w:rsidRPr="00CE6A17" w14:paraId="23EF638B" w14:textId="77777777" w:rsidTr="007C0BB5">
        <w:trPr>
          <w:trHeight w:val="386"/>
        </w:trPr>
        <w:tc>
          <w:tcPr>
            <w:tcW w:w="14418" w:type="dxa"/>
            <w:gridSpan w:val="4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06271222" w14:textId="77131627" w:rsidR="001E34A2" w:rsidRPr="001E34A2" w:rsidRDefault="00A11576" w:rsidP="001E34A2">
            <w:pPr>
              <w:jc w:val="center"/>
              <w:rPr>
                <w:b/>
              </w:rPr>
            </w:pPr>
            <w:r>
              <w:rPr>
                <w:b/>
              </w:rPr>
              <w:t>Student Learning</w:t>
            </w:r>
          </w:p>
        </w:tc>
      </w:tr>
      <w:tr w:rsidR="003E633C" w:rsidRPr="00CE6A17" w14:paraId="26E80637" w14:textId="77777777" w:rsidTr="00A46650">
        <w:trPr>
          <w:trHeight w:val="2637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31CA8006" w14:textId="1D5FADD0" w:rsidR="003E633C" w:rsidRPr="00CE6A17" w:rsidRDefault="003E633C" w:rsidP="003E633C">
            <w:r>
              <w:t xml:space="preserve">Student Learning </w:t>
            </w:r>
            <w:r w:rsidR="00DE1531">
              <w:t>–</w:t>
            </w:r>
            <w:r>
              <w:t xml:space="preserve"> </w:t>
            </w:r>
            <w:r w:rsidR="00DE1531">
              <w:t>Communicative Competence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EE4050" w14:textId="77777777" w:rsidR="00DE1531" w:rsidRPr="00DE1531" w:rsidRDefault="00DE1531" w:rsidP="00DE153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E1531">
              <w:rPr>
                <w:rFonts w:cs="Tahoma"/>
              </w:rPr>
              <w:t>Students will demonstrate</w:t>
            </w:r>
          </w:p>
          <w:p w14:paraId="0E30DDDA" w14:textId="22224057" w:rsidR="003E633C" w:rsidRPr="003E633C" w:rsidRDefault="00DE1531" w:rsidP="00DE1531">
            <w:pPr>
              <w:rPr>
                <w:rFonts w:cs="Tahoma"/>
              </w:rPr>
            </w:pPr>
            <w:r>
              <w:rPr>
                <w:rFonts w:cs="Tahoma"/>
              </w:rPr>
              <w:t xml:space="preserve">Communicative competence in American Sign </w:t>
            </w:r>
            <w:r w:rsidRPr="00DE1531">
              <w:rPr>
                <w:rFonts w:cs="Tahoma"/>
              </w:rPr>
              <w:t>Language.</w:t>
            </w:r>
          </w:p>
        </w:tc>
        <w:tc>
          <w:tcPr>
            <w:tcW w:w="5850" w:type="dxa"/>
            <w:tcBorders>
              <w:top w:val="single" w:sz="18" w:space="0" w:color="auto"/>
            </w:tcBorders>
            <w:shd w:val="clear" w:color="auto" w:fill="auto"/>
          </w:tcPr>
          <w:p w14:paraId="03BBA14E" w14:textId="2B0AC1AA" w:rsidR="003E633C" w:rsidRPr="003E633C" w:rsidRDefault="003E633C" w:rsidP="00C65248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3E633C">
              <w:rPr>
                <w:rFonts w:cs="Tahoma"/>
              </w:rPr>
              <w:t>Using the measures and rubrics of the</w:t>
            </w:r>
            <w:r>
              <w:rPr>
                <w:rFonts w:cs="Tahoma"/>
              </w:rPr>
              <w:t xml:space="preserve"> </w:t>
            </w:r>
            <w:r w:rsidR="00C65248">
              <w:rPr>
                <w:rFonts w:cs="Tahoma"/>
              </w:rPr>
              <w:t>National Association of the Deaf</w:t>
            </w:r>
            <w:r w:rsidRPr="003E633C">
              <w:rPr>
                <w:rFonts w:cs="Tahoma"/>
              </w:rPr>
              <w:t>, th</w:t>
            </w:r>
            <w:r>
              <w:rPr>
                <w:rFonts w:cs="Tahoma"/>
              </w:rPr>
              <w:t xml:space="preserve">e faculty will administer a 20- </w:t>
            </w:r>
            <w:r w:rsidRPr="003E633C">
              <w:rPr>
                <w:rFonts w:cs="Tahoma"/>
              </w:rPr>
              <w:t>minute SOPI (S</w:t>
            </w:r>
            <w:r>
              <w:rPr>
                <w:rFonts w:cs="Tahoma"/>
              </w:rPr>
              <w:t xml:space="preserve">imulated Oral Proficiency Exam) </w:t>
            </w:r>
            <w:r w:rsidRPr="003E633C">
              <w:rPr>
                <w:rFonts w:cs="Tahoma"/>
              </w:rPr>
              <w:t>to all graduatin</w:t>
            </w:r>
            <w:r>
              <w:rPr>
                <w:rFonts w:cs="Tahoma"/>
              </w:rPr>
              <w:t xml:space="preserve">g majors. On a word scale which </w:t>
            </w:r>
            <w:r w:rsidRPr="003E633C">
              <w:rPr>
                <w:rFonts w:cs="Tahoma"/>
              </w:rPr>
              <w:t xml:space="preserve">tests for the levels </w:t>
            </w:r>
            <w:r>
              <w:rPr>
                <w:rFonts w:cs="Tahoma"/>
              </w:rPr>
              <w:t xml:space="preserve">Novice (no appreciable skills), </w:t>
            </w:r>
            <w:r w:rsidRPr="003E633C">
              <w:rPr>
                <w:rFonts w:cs="Tahoma"/>
              </w:rPr>
              <w:t>Intermediat</w:t>
            </w:r>
            <w:r>
              <w:rPr>
                <w:rFonts w:cs="Tahoma"/>
              </w:rPr>
              <w:t xml:space="preserve">e (basic communicative skills), </w:t>
            </w:r>
            <w:r w:rsidRPr="003E633C">
              <w:rPr>
                <w:rFonts w:cs="Tahoma"/>
              </w:rPr>
              <w:t>Advan</w:t>
            </w:r>
            <w:r>
              <w:rPr>
                <w:rFonts w:cs="Tahoma"/>
              </w:rPr>
              <w:t xml:space="preserve">ced (ability to extrapolate and </w:t>
            </w:r>
            <w:r w:rsidRPr="003E633C">
              <w:rPr>
                <w:rFonts w:cs="Tahoma"/>
              </w:rPr>
              <w:t>hypothesize) and</w:t>
            </w:r>
            <w:r>
              <w:rPr>
                <w:rFonts w:cs="Tahoma"/>
              </w:rPr>
              <w:t xml:space="preserve"> Superior (having the hallmarks </w:t>
            </w:r>
            <w:r w:rsidRPr="003E633C">
              <w:rPr>
                <w:rFonts w:cs="Tahoma"/>
              </w:rPr>
              <w:t>of a native spe</w:t>
            </w:r>
            <w:r>
              <w:rPr>
                <w:rFonts w:cs="Tahoma"/>
              </w:rPr>
              <w:t xml:space="preserve">aker), breaking each level into </w:t>
            </w:r>
            <w:r w:rsidRPr="003E633C">
              <w:rPr>
                <w:rFonts w:cs="Tahoma"/>
              </w:rPr>
              <w:t>Low, Mid and Hig</w:t>
            </w:r>
            <w:r>
              <w:rPr>
                <w:rFonts w:cs="Tahoma"/>
              </w:rPr>
              <w:t xml:space="preserve">h. </w:t>
            </w:r>
          </w:p>
        </w:tc>
        <w:tc>
          <w:tcPr>
            <w:tcW w:w="36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27EE26" w14:textId="3DD3620E" w:rsidR="003E633C" w:rsidRPr="003E633C" w:rsidRDefault="003E633C" w:rsidP="003E633C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3E633C">
              <w:rPr>
                <w:rFonts w:cs="Tahoma"/>
              </w:rPr>
              <w:t>The criteria fo</w:t>
            </w:r>
            <w:r>
              <w:rPr>
                <w:rFonts w:cs="Tahoma"/>
              </w:rPr>
              <w:t xml:space="preserve">r success will be if 75% of the </w:t>
            </w:r>
            <w:r w:rsidRPr="003E633C">
              <w:rPr>
                <w:rFonts w:cs="Tahoma"/>
              </w:rPr>
              <w:t xml:space="preserve">students taking </w:t>
            </w:r>
            <w:r>
              <w:rPr>
                <w:rFonts w:cs="Tahoma"/>
              </w:rPr>
              <w:t xml:space="preserve">the SOPI score Intermediate-High </w:t>
            </w:r>
            <w:r w:rsidRPr="003E633C">
              <w:rPr>
                <w:rFonts w:cs="Tahoma"/>
              </w:rPr>
              <w:t>or above.</w:t>
            </w:r>
          </w:p>
        </w:tc>
      </w:tr>
      <w:tr w:rsidR="007C0BB5" w:rsidRPr="00CE6A17" w14:paraId="4F8FCBE4" w14:textId="77777777" w:rsidTr="00A46650">
        <w:trPr>
          <w:trHeight w:val="432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247C0AC8" w14:textId="77777777" w:rsidR="00C975D7" w:rsidRPr="00CE6A17" w:rsidRDefault="00C975D7" w:rsidP="007C0BB5"/>
        </w:tc>
        <w:tc>
          <w:tcPr>
            <w:tcW w:w="28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B66F40" w14:textId="77777777" w:rsidR="00C975D7" w:rsidRPr="003E633C" w:rsidRDefault="00C975D7" w:rsidP="007C0BB5">
            <w:pPr>
              <w:rPr>
                <w:rFonts w:cs="Tahoma"/>
              </w:rPr>
            </w:pPr>
          </w:p>
        </w:tc>
        <w:tc>
          <w:tcPr>
            <w:tcW w:w="5850" w:type="dxa"/>
            <w:tcBorders>
              <w:bottom w:val="single" w:sz="18" w:space="0" w:color="auto"/>
            </w:tcBorders>
            <w:shd w:val="clear" w:color="auto" w:fill="auto"/>
          </w:tcPr>
          <w:p w14:paraId="02D6C6DE" w14:textId="77777777" w:rsidR="00C975D7" w:rsidRPr="003E633C" w:rsidRDefault="00EF2915">
            <w:pPr>
              <w:rPr>
                <w:rFonts w:cs="Tahoma"/>
              </w:rPr>
            </w:pPr>
            <w:r w:rsidRPr="003E633C">
              <w:rPr>
                <w:rFonts w:cs="Tahoma"/>
              </w:rPr>
              <w:t xml:space="preserve">The graduating student survey asks students about acquiring the ability to express themselves (question 23) </w:t>
            </w:r>
          </w:p>
        </w:tc>
        <w:tc>
          <w:tcPr>
            <w:tcW w:w="36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97D33F" w14:textId="147A673D" w:rsidR="00C975D7" w:rsidRPr="003E633C" w:rsidRDefault="00DE1531" w:rsidP="00EF2915">
            <w:pPr>
              <w:rPr>
                <w:rFonts w:cs="Tahoma"/>
              </w:rPr>
            </w:pPr>
            <w:r>
              <w:rPr>
                <w:rFonts w:cs="Tahoma"/>
              </w:rPr>
              <w:t>At least 75</w:t>
            </w:r>
            <w:r w:rsidR="006C3518">
              <w:rPr>
                <w:rFonts w:cs="Tahoma"/>
              </w:rPr>
              <w:t>% of students will</w:t>
            </w:r>
            <w:r w:rsidR="00EF2915" w:rsidRPr="003E633C">
              <w:rPr>
                <w:rFonts w:cs="Tahoma"/>
              </w:rPr>
              <w:t xml:space="preserve"> </w:t>
            </w:r>
            <w:r w:rsidR="006C3518">
              <w:rPr>
                <w:rFonts w:cs="Tahoma"/>
              </w:rPr>
              <w:t>“</w:t>
            </w:r>
            <w:r w:rsidR="00EF2915" w:rsidRPr="003E633C">
              <w:rPr>
                <w:rFonts w:cs="Tahoma"/>
              </w:rPr>
              <w:t>agree</w:t>
            </w:r>
            <w:r w:rsidR="006C3518">
              <w:rPr>
                <w:rFonts w:cs="Tahoma"/>
              </w:rPr>
              <w:t>”</w:t>
            </w:r>
            <w:r w:rsidR="00EF2915" w:rsidRPr="003E633C">
              <w:rPr>
                <w:rFonts w:cs="Tahoma"/>
              </w:rPr>
              <w:t xml:space="preserve"> or </w:t>
            </w:r>
            <w:r w:rsidR="006C3518">
              <w:rPr>
                <w:rFonts w:cs="Tahoma"/>
              </w:rPr>
              <w:t>“</w:t>
            </w:r>
            <w:r w:rsidR="00EF2915" w:rsidRPr="003E633C">
              <w:rPr>
                <w:rFonts w:cs="Tahoma"/>
              </w:rPr>
              <w:t>strongly agree</w:t>
            </w:r>
            <w:r w:rsidR="006C3518">
              <w:rPr>
                <w:rFonts w:cs="Tahoma"/>
              </w:rPr>
              <w:t>”</w:t>
            </w:r>
            <w:r w:rsidR="00EF2915" w:rsidRPr="003E633C">
              <w:rPr>
                <w:rFonts w:cs="Tahoma"/>
              </w:rPr>
              <w:t xml:space="preserve"> </w:t>
            </w:r>
            <w:r w:rsidR="006C3518">
              <w:rPr>
                <w:rFonts w:cs="Tahoma"/>
              </w:rPr>
              <w:t xml:space="preserve">(on a scale of 1 to 5) </w:t>
            </w:r>
            <w:r w:rsidR="00EF2915" w:rsidRPr="003E633C">
              <w:rPr>
                <w:rFonts w:cs="Tahoma"/>
              </w:rPr>
              <w:t>their experiences prepa</w:t>
            </w:r>
            <w:r w:rsidR="00C4293B">
              <w:rPr>
                <w:rFonts w:cs="Tahoma"/>
              </w:rPr>
              <w:t>red them to express themselves.</w:t>
            </w:r>
          </w:p>
        </w:tc>
      </w:tr>
      <w:tr w:rsidR="007C0BB5" w:rsidRPr="00CE6A17" w14:paraId="6E17B881" w14:textId="77777777" w:rsidTr="00A46650">
        <w:trPr>
          <w:trHeight w:val="597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5A8DB68B" w14:textId="5A65DD53" w:rsidR="00C81A2B" w:rsidRPr="007C0BB5" w:rsidRDefault="00C81A2B" w:rsidP="007C0BB5">
            <w:r>
              <w:t xml:space="preserve">Student Learning – </w:t>
            </w:r>
            <w:r w:rsidR="003E633C">
              <w:t>Diversity</w:t>
            </w:r>
          </w:p>
          <w:p w14:paraId="09A0E36B" w14:textId="77777777" w:rsidR="00C81A2B" w:rsidRDefault="00C81A2B" w:rsidP="007C0BB5"/>
        </w:tc>
        <w:tc>
          <w:tcPr>
            <w:tcW w:w="28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412914" w14:textId="2A7A3526" w:rsidR="00C81A2B" w:rsidRPr="003E633C" w:rsidRDefault="003E633C" w:rsidP="003E633C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3E633C">
              <w:rPr>
                <w:rFonts w:cs="Tahoma"/>
              </w:rPr>
              <w:t>Students will develop an appreciation of the diversity and value of all human languages and the people who speak them.</w:t>
            </w:r>
          </w:p>
        </w:tc>
        <w:tc>
          <w:tcPr>
            <w:tcW w:w="5850" w:type="dxa"/>
            <w:tcBorders>
              <w:top w:val="single" w:sz="18" w:space="0" w:color="auto"/>
            </w:tcBorders>
            <w:shd w:val="clear" w:color="auto" w:fill="auto"/>
          </w:tcPr>
          <w:p w14:paraId="6AD1E0B8" w14:textId="1FC177EF" w:rsidR="00C81A2B" w:rsidRPr="00F4231D" w:rsidRDefault="003E633C">
            <w:r w:rsidRPr="003E633C">
              <w:rPr>
                <w:rFonts w:cs="Tahoma"/>
              </w:rPr>
              <w:t>The successful stud</w:t>
            </w:r>
            <w:r>
              <w:rPr>
                <w:rFonts w:cs="Tahoma"/>
              </w:rPr>
              <w:t xml:space="preserve">ent will be able to investigate </w:t>
            </w:r>
            <w:r w:rsidRPr="003E633C">
              <w:rPr>
                <w:rFonts w:cs="Tahoma"/>
              </w:rPr>
              <w:t>cultural aspe</w:t>
            </w:r>
            <w:r>
              <w:rPr>
                <w:rFonts w:cs="Tahoma"/>
              </w:rPr>
              <w:t xml:space="preserve">cts of ASL by conducting a </w:t>
            </w:r>
            <w:r w:rsidRPr="003E633C">
              <w:rPr>
                <w:rFonts w:cs="Tahoma"/>
              </w:rPr>
              <w:t>semester-</w:t>
            </w:r>
            <w:r>
              <w:rPr>
                <w:rFonts w:cs="Tahoma"/>
              </w:rPr>
              <w:t>long research project. ASL 435 is</w:t>
            </w:r>
            <w:r w:rsidRPr="003E633C">
              <w:rPr>
                <w:rFonts w:cs="Tahoma"/>
              </w:rPr>
              <w:t xml:space="preserve"> the linguistics program's prim</w:t>
            </w:r>
            <w:r>
              <w:rPr>
                <w:rFonts w:cs="Tahoma"/>
              </w:rPr>
              <w:t xml:space="preserve">ary </w:t>
            </w:r>
            <w:r w:rsidRPr="003E633C">
              <w:rPr>
                <w:rFonts w:cs="Tahoma"/>
              </w:rPr>
              <w:t>culture-oriented</w:t>
            </w:r>
            <w:r>
              <w:rPr>
                <w:rFonts w:cs="Tahoma"/>
              </w:rPr>
              <w:t xml:space="preserve"> courses which require research </w:t>
            </w:r>
            <w:r w:rsidRPr="003E633C">
              <w:rPr>
                <w:rFonts w:cs="Tahoma"/>
              </w:rPr>
              <w:t>projects for their successful completion.</w:t>
            </w:r>
          </w:p>
        </w:tc>
        <w:tc>
          <w:tcPr>
            <w:tcW w:w="36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D2388CE" w14:textId="77777777" w:rsidR="003E633C" w:rsidRPr="003E633C" w:rsidRDefault="003E633C" w:rsidP="003E633C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3E633C">
              <w:rPr>
                <w:rFonts w:cs="Tahoma"/>
              </w:rPr>
              <w:t>Using a rub</w:t>
            </w:r>
            <w:r>
              <w:rPr>
                <w:rFonts w:cs="Tahoma"/>
              </w:rPr>
              <w:t xml:space="preserve">ric, a checklist of eight items </w:t>
            </w:r>
            <w:r w:rsidRPr="003E633C">
              <w:rPr>
                <w:rFonts w:cs="Tahoma"/>
              </w:rPr>
              <w:t>addres</w:t>
            </w:r>
            <w:r>
              <w:rPr>
                <w:rFonts w:cs="Tahoma"/>
              </w:rPr>
              <w:t xml:space="preserve">sing accuracy of </w:t>
            </w:r>
            <w:r w:rsidRPr="003E633C">
              <w:rPr>
                <w:rFonts w:cs="Tahoma"/>
              </w:rPr>
              <w:t>information,</w:t>
            </w:r>
            <w:r>
              <w:rPr>
                <w:rFonts w:cs="Tahoma"/>
              </w:rPr>
              <w:t xml:space="preserve"> quality of writing, and logical </w:t>
            </w:r>
            <w:r w:rsidRPr="003E633C">
              <w:rPr>
                <w:rFonts w:cs="Tahoma"/>
              </w:rPr>
              <w:t>expression of ideas, on which the stud</w:t>
            </w:r>
            <w:r>
              <w:rPr>
                <w:rFonts w:cs="Tahoma"/>
              </w:rPr>
              <w:t xml:space="preserve">ent must </w:t>
            </w:r>
            <w:r w:rsidRPr="003E633C">
              <w:rPr>
                <w:rFonts w:cs="Tahoma"/>
              </w:rPr>
              <w:t>successfully addr</w:t>
            </w:r>
            <w:r>
              <w:rPr>
                <w:rFonts w:cs="Tahoma"/>
              </w:rPr>
              <w:t xml:space="preserve">ess eight of these, the faculty </w:t>
            </w:r>
            <w:r w:rsidRPr="003E633C">
              <w:rPr>
                <w:rFonts w:cs="Tahoma"/>
              </w:rPr>
              <w:t>will evaluate the projects of all linguistics majors.</w:t>
            </w:r>
          </w:p>
          <w:p w14:paraId="10A6E7CF" w14:textId="27440301" w:rsidR="00C81A2B" w:rsidRPr="00F4231D" w:rsidRDefault="003E633C" w:rsidP="003E633C">
            <w:r w:rsidRPr="003E633C">
              <w:rPr>
                <w:rFonts w:cs="Tahoma"/>
              </w:rPr>
              <w:t xml:space="preserve">For each item on </w:t>
            </w:r>
            <w:r>
              <w:rPr>
                <w:rFonts w:cs="Tahoma"/>
              </w:rPr>
              <w:t xml:space="preserve">the rubric, at least 70% of the </w:t>
            </w:r>
            <w:r w:rsidRPr="003E633C">
              <w:rPr>
                <w:rFonts w:cs="Tahoma"/>
              </w:rPr>
              <w:t>students' projects w</w:t>
            </w:r>
            <w:r>
              <w:rPr>
                <w:rFonts w:cs="Tahoma"/>
              </w:rPr>
              <w:t xml:space="preserve">ill be rated as satisfactory or </w:t>
            </w:r>
            <w:r w:rsidRPr="003E633C">
              <w:rPr>
                <w:rFonts w:cs="Tahoma"/>
              </w:rPr>
              <w:t>above.</w:t>
            </w:r>
          </w:p>
        </w:tc>
      </w:tr>
      <w:tr w:rsidR="007C0BB5" w:rsidRPr="00CE6A17" w14:paraId="7119EFE5" w14:textId="77777777" w:rsidTr="00A46650">
        <w:trPr>
          <w:trHeight w:val="596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1F0E1192" w14:textId="77777777" w:rsidR="00EF2915" w:rsidRDefault="00EF2915" w:rsidP="007C0BB5"/>
        </w:tc>
        <w:tc>
          <w:tcPr>
            <w:tcW w:w="28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C4C64F" w14:textId="77777777" w:rsidR="00EF2915" w:rsidRDefault="00EF2915" w:rsidP="007C0BB5"/>
        </w:tc>
        <w:tc>
          <w:tcPr>
            <w:tcW w:w="5850" w:type="dxa"/>
            <w:tcBorders>
              <w:bottom w:val="single" w:sz="18" w:space="0" w:color="auto"/>
            </w:tcBorders>
            <w:shd w:val="clear" w:color="auto" w:fill="auto"/>
          </w:tcPr>
          <w:p w14:paraId="0341EC4A" w14:textId="77777777" w:rsidR="00DE1531" w:rsidRPr="00DE1531" w:rsidRDefault="00DE1531" w:rsidP="00DE153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E1531">
              <w:rPr>
                <w:rFonts w:cs="Tahoma"/>
              </w:rPr>
              <w:t>The faculty will administer a 20-minute SOPI</w:t>
            </w:r>
          </w:p>
          <w:p w14:paraId="713B8F56" w14:textId="6A6359DF" w:rsidR="00DE1531" w:rsidRPr="00DE1531" w:rsidRDefault="00DE1531" w:rsidP="00DE153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E1531">
              <w:rPr>
                <w:rFonts w:cs="Tahoma"/>
              </w:rPr>
              <w:t>(Simulated Oral Proficiency Exam) to all</w:t>
            </w:r>
            <w:r>
              <w:rPr>
                <w:rFonts w:cs="Tahoma"/>
              </w:rPr>
              <w:t xml:space="preserve"> </w:t>
            </w:r>
            <w:r w:rsidRPr="00DE1531">
              <w:rPr>
                <w:rFonts w:cs="Tahoma"/>
              </w:rPr>
              <w:t>graduating maj</w:t>
            </w:r>
            <w:r>
              <w:rPr>
                <w:rFonts w:cs="Tahoma"/>
              </w:rPr>
              <w:t xml:space="preserve">ors. During one portion of this </w:t>
            </w:r>
            <w:r w:rsidRPr="00DE1531">
              <w:rPr>
                <w:rFonts w:cs="Tahoma"/>
              </w:rPr>
              <w:t>exam, faculty will ask students to speak</w:t>
            </w:r>
            <w:r>
              <w:rPr>
                <w:rFonts w:cs="Tahoma"/>
              </w:rPr>
              <w:t xml:space="preserve"> </w:t>
            </w:r>
            <w:r w:rsidRPr="00DE1531">
              <w:rPr>
                <w:rFonts w:cs="Tahoma"/>
              </w:rPr>
              <w:t>extempor</w:t>
            </w:r>
            <w:r>
              <w:rPr>
                <w:rFonts w:cs="Tahoma"/>
              </w:rPr>
              <w:t xml:space="preserve">aneously on deaf/hard of hearing </w:t>
            </w:r>
            <w:r w:rsidRPr="00DE1531">
              <w:rPr>
                <w:rFonts w:cs="Tahoma"/>
              </w:rPr>
              <w:t xml:space="preserve">American culture </w:t>
            </w:r>
            <w:r>
              <w:rPr>
                <w:rFonts w:cs="Tahoma"/>
              </w:rPr>
              <w:t xml:space="preserve">and to explain their historical </w:t>
            </w:r>
            <w:r w:rsidRPr="00DE1531">
              <w:rPr>
                <w:rFonts w:cs="Tahoma"/>
              </w:rPr>
              <w:t>and contextual signific</w:t>
            </w:r>
            <w:r>
              <w:rPr>
                <w:rFonts w:cs="Tahoma"/>
              </w:rPr>
              <w:t>ance within the deaf community</w:t>
            </w:r>
            <w:r w:rsidRPr="00DE1531">
              <w:rPr>
                <w:rFonts w:cs="Tahoma"/>
              </w:rPr>
              <w:t>. The faculty will use an</w:t>
            </w:r>
          </w:p>
          <w:p w14:paraId="0CF8AE5A" w14:textId="7C5CAAE9" w:rsidR="00EF2915" w:rsidRPr="00DE1531" w:rsidRDefault="00DE1531" w:rsidP="00DE1531">
            <w:pPr>
              <w:autoSpaceDE w:val="0"/>
              <w:autoSpaceDN w:val="0"/>
              <w:adjustRightInd w:val="0"/>
              <w:rPr>
                <w:rFonts w:cs="Tahoma"/>
              </w:rPr>
            </w:pPr>
            <w:proofErr w:type="gramStart"/>
            <w:r w:rsidRPr="00DE1531">
              <w:rPr>
                <w:rFonts w:cs="Tahoma"/>
              </w:rPr>
              <w:t>evaluation</w:t>
            </w:r>
            <w:proofErr w:type="gramEnd"/>
            <w:r w:rsidRPr="00DE1531">
              <w:rPr>
                <w:rFonts w:cs="Tahoma"/>
              </w:rPr>
              <w:t xml:space="preserve"> rubric </w:t>
            </w:r>
            <w:r>
              <w:rPr>
                <w:rFonts w:cs="Tahoma"/>
              </w:rPr>
              <w:t xml:space="preserve">during this portion of the exam </w:t>
            </w:r>
            <w:r w:rsidRPr="00DE1531">
              <w:rPr>
                <w:rFonts w:cs="Tahoma"/>
              </w:rPr>
              <w:t>consisting o</w:t>
            </w:r>
            <w:r>
              <w:rPr>
                <w:rFonts w:cs="Tahoma"/>
              </w:rPr>
              <w:t xml:space="preserve">f five important areas that the </w:t>
            </w:r>
            <w:r w:rsidRPr="00DE1531">
              <w:rPr>
                <w:rFonts w:cs="Tahoma"/>
              </w:rPr>
              <w:t>students mu</w:t>
            </w:r>
            <w:r>
              <w:rPr>
                <w:rFonts w:cs="Tahoma"/>
              </w:rPr>
              <w:t>st address to judge the student’s critical thinking.</w:t>
            </w:r>
          </w:p>
        </w:tc>
        <w:tc>
          <w:tcPr>
            <w:tcW w:w="36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456AAB" w14:textId="4E169E47" w:rsidR="00EF2915" w:rsidRPr="00DE1531" w:rsidRDefault="00DE1531" w:rsidP="006C3518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E1531">
              <w:rPr>
                <w:rFonts w:cs="Tahoma"/>
              </w:rPr>
              <w:t>At leas</w:t>
            </w:r>
            <w:r>
              <w:rPr>
                <w:rFonts w:cs="Tahoma"/>
              </w:rPr>
              <w:t xml:space="preserve">t 75% of student scores for each </w:t>
            </w:r>
            <w:r w:rsidRPr="00DE1531">
              <w:rPr>
                <w:rFonts w:cs="Tahoma"/>
              </w:rPr>
              <w:t>component of the</w:t>
            </w:r>
            <w:r>
              <w:rPr>
                <w:rFonts w:cs="Tahoma"/>
              </w:rPr>
              <w:t xml:space="preserve"> rubric are expected to be 3 or </w:t>
            </w:r>
            <w:r w:rsidRPr="00DE1531">
              <w:rPr>
                <w:rFonts w:cs="Tahoma"/>
              </w:rPr>
              <w:t>above</w:t>
            </w:r>
            <w:r w:rsidR="006C3518">
              <w:rPr>
                <w:rFonts w:cs="Tahoma"/>
              </w:rPr>
              <w:t xml:space="preserve"> (out of 5) </w:t>
            </w:r>
            <w:r w:rsidRPr="00DE1531">
              <w:rPr>
                <w:rFonts w:cs="Tahoma"/>
              </w:rPr>
              <w:t>on this scale.</w:t>
            </w:r>
          </w:p>
        </w:tc>
      </w:tr>
      <w:tr w:rsidR="001E34A2" w:rsidRPr="00CE6A17" w14:paraId="2E9025A8" w14:textId="77777777" w:rsidTr="007C0BB5">
        <w:trPr>
          <w:trHeight w:val="368"/>
        </w:trPr>
        <w:tc>
          <w:tcPr>
            <w:tcW w:w="144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14:paraId="74EC76A2" w14:textId="3A607864" w:rsidR="001E34A2" w:rsidRPr="001E34A2" w:rsidRDefault="00A11576" w:rsidP="001E34A2">
            <w:pPr>
              <w:jc w:val="center"/>
              <w:rPr>
                <w:b/>
              </w:rPr>
            </w:pPr>
            <w:r>
              <w:rPr>
                <w:b/>
              </w:rPr>
              <w:t>Educational Program</w:t>
            </w:r>
          </w:p>
        </w:tc>
      </w:tr>
      <w:tr w:rsidR="00401828" w:rsidRPr="00CE6A17" w14:paraId="37E84D5E" w14:textId="77777777" w:rsidTr="00A46650">
        <w:trPr>
          <w:trHeight w:val="8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B015ACC" w14:textId="3C2F2CEF" w:rsidR="00401828" w:rsidRPr="00CE6A17" w:rsidRDefault="00401828" w:rsidP="00401828">
            <w:r>
              <w:t>Educational Program – Advising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529DD" w14:textId="371F1A23" w:rsidR="00401828" w:rsidRPr="00CE6A17" w:rsidRDefault="00401828" w:rsidP="00401828">
            <w:r>
              <w:t xml:space="preserve">The American Sign Language program provides effective advising. </w:t>
            </w:r>
          </w:p>
        </w:tc>
        <w:tc>
          <w:tcPr>
            <w:tcW w:w="5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3D08A" w14:textId="41536F57" w:rsidR="00401828" w:rsidRPr="00DE1531" w:rsidRDefault="00401828" w:rsidP="00401828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D45A4">
              <w:rPr>
                <w:rFonts w:cs="Tahoma"/>
              </w:rPr>
              <w:t>The graduating student survey asks students about their advis</w:t>
            </w:r>
            <w:r>
              <w:rPr>
                <w:rFonts w:cs="Tahoma"/>
              </w:rPr>
              <w:t xml:space="preserve">ing </w:t>
            </w:r>
            <w:r w:rsidRPr="005D45A4">
              <w:rPr>
                <w:rFonts w:cs="Tahoma"/>
              </w:rPr>
              <w:t xml:space="preserve">experience (e.g., #34 level of satisfaction with … “academic advising in your school or department” and </w:t>
            </w:r>
            <w:r>
              <w:rPr>
                <w:rFonts w:cs="Tahoma"/>
              </w:rPr>
              <w:t>#</w:t>
            </w:r>
            <w:r w:rsidRPr="005D45A4">
              <w:rPr>
                <w:rFonts w:cs="Tahoma"/>
              </w:rPr>
              <w:t xml:space="preserve">90 for the </w:t>
            </w:r>
            <w:r w:rsidR="008C27E6">
              <w:rPr>
                <w:rFonts w:cs="Tahoma"/>
              </w:rPr>
              <w:t>languages</w:t>
            </w:r>
            <w:r w:rsidRPr="005D45A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department “</w:t>
            </w:r>
            <w:r w:rsidRPr="005D45A4">
              <w:rPr>
                <w:rFonts w:cs="Tahoma"/>
              </w:rPr>
              <w:t>student advising was adequate”)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403FC06" w14:textId="2F365117" w:rsidR="00401828" w:rsidRPr="00CE6A17" w:rsidRDefault="00401828" w:rsidP="00401828">
            <w:r w:rsidRPr="005D45A4">
              <w:rPr>
                <w:rFonts w:cs="Tahoma"/>
              </w:rPr>
              <w:t xml:space="preserve">For each </w:t>
            </w:r>
            <w:r>
              <w:rPr>
                <w:rFonts w:cs="Tahoma"/>
              </w:rPr>
              <w:t xml:space="preserve">relevant </w:t>
            </w:r>
            <w:r w:rsidRPr="005D45A4">
              <w:rPr>
                <w:rFonts w:cs="Tahoma"/>
              </w:rPr>
              <w:t>question</w:t>
            </w:r>
            <w:r>
              <w:rPr>
                <w:rFonts w:cs="Tahoma"/>
              </w:rPr>
              <w:t>, at least 80% of students will mark “agree” or “strongly agree”</w:t>
            </w:r>
            <w:r w:rsidR="006C3518">
              <w:rPr>
                <w:rFonts w:cs="Tahoma"/>
              </w:rPr>
              <w:t xml:space="preserve"> (on a scale of 1 to 5)</w:t>
            </w:r>
            <w:r>
              <w:rPr>
                <w:rFonts w:cs="Tahoma"/>
              </w:rPr>
              <w:t xml:space="preserve"> that advising in the department was effective</w:t>
            </w:r>
            <w:r w:rsidRPr="005D45A4">
              <w:rPr>
                <w:rFonts w:cs="Tahoma"/>
              </w:rPr>
              <w:t>.</w:t>
            </w:r>
          </w:p>
        </w:tc>
      </w:tr>
      <w:tr w:rsidR="00401828" w:rsidRPr="00CE6A17" w14:paraId="3ED4B5F3" w14:textId="77777777" w:rsidTr="00A46650">
        <w:trPr>
          <w:trHeight w:val="832"/>
        </w:trPr>
        <w:tc>
          <w:tcPr>
            <w:tcW w:w="199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5ECEB29" w14:textId="77777777" w:rsidR="00401828" w:rsidRPr="00CE6A17" w:rsidRDefault="00401828" w:rsidP="00401828"/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65FD5" w14:textId="77777777" w:rsidR="00401828" w:rsidRPr="00CE6A17" w:rsidRDefault="00401828" w:rsidP="00401828"/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8CE77DF" w14:textId="77777777" w:rsidR="00401828" w:rsidRPr="00845DB8" w:rsidRDefault="00401828" w:rsidP="00401828">
            <w:r w:rsidRPr="00845DB8">
              <w:t xml:space="preserve">After each advising appointment, students will be emailed a link to anonymously fill out a survey about the effectiveness of that appointment (e.g., “This session helped me understand my career or graduate school options” and “I understand what courses I need to take to reach those goals”)  </w:t>
            </w:r>
          </w:p>
          <w:p w14:paraId="0897435A" w14:textId="276CED0B" w:rsidR="00401828" w:rsidRPr="00CE6A17" w:rsidRDefault="00401828" w:rsidP="00401828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FF866C" w14:textId="47E96FF9" w:rsidR="00401828" w:rsidRPr="00CE6A17" w:rsidRDefault="00401828" w:rsidP="00401828">
            <w:r w:rsidRPr="00845DB8">
              <w:t>F</w:t>
            </w:r>
            <w:r>
              <w:t>or each relevant question,</w:t>
            </w:r>
            <w:r w:rsidR="006C3518">
              <w:t xml:space="preserve"> on a scale of 1 to 5,</w:t>
            </w:r>
            <w:r>
              <w:t xml:space="preserve"> 75</w:t>
            </w:r>
            <w:r w:rsidRPr="00845DB8">
              <w:t>% of students will “agree” or “strongly agree”.</w:t>
            </w:r>
          </w:p>
        </w:tc>
      </w:tr>
      <w:tr w:rsidR="00A940B0" w:rsidRPr="00CE6A17" w14:paraId="233230AC" w14:textId="77777777" w:rsidTr="00A46650">
        <w:trPr>
          <w:trHeight w:val="832"/>
        </w:trPr>
        <w:tc>
          <w:tcPr>
            <w:tcW w:w="199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29075D75" w14:textId="1EE6E83A" w:rsidR="00A940B0" w:rsidRPr="00CE6A17" w:rsidRDefault="00A940B0" w:rsidP="00401828">
            <w:r>
              <w:t>Educational Program – Student Satisfaction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929FF" w14:textId="34F1279B" w:rsidR="00A940B0" w:rsidRPr="00CE6A17" w:rsidRDefault="00A940B0" w:rsidP="008C27E6">
            <w:r>
              <w:t xml:space="preserve">The </w:t>
            </w:r>
            <w:r w:rsidR="008C27E6">
              <w:t xml:space="preserve">American Sign Language </w:t>
            </w:r>
            <w:bookmarkStart w:id="0" w:name="_GoBack"/>
            <w:bookmarkEnd w:id="0"/>
            <w:r w:rsidR="008C27E6">
              <w:t>p</w:t>
            </w:r>
            <w:r>
              <w:t>rogram provides satisfactory experiences for its students.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ECE2F9" w14:textId="0CEF74E8" w:rsidR="00A940B0" w:rsidRPr="00845DB8" w:rsidRDefault="00A940B0" w:rsidP="00401828">
            <w:r w:rsidRPr="00130FAB">
              <w:rPr>
                <w:rFonts w:eastAsia="Times New Roman" w:cs="Tahoma"/>
              </w:rPr>
              <w:t>Two questions on the graduating student survey are strongly related to student satisfaction with the pr</w:t>
            </w:r>
            <w:r>
              <w:rPr>
                <w:rFonts w:eastAsia="Times New Roman" w:cs="Tahoma"/>
              </w:rPr>
              <w:t>ogram.  The two questions are "</w:t>
            </w:r>
            <w:r w:rsidRPr="00130FAB">
              <w:rPr>
                <w:rFonts w:eastAsia="Times New Roman" w:cs="Tahoma"/>
              </w:rPr>
              <w:t>I was academically challenged by the course work in my major courses" and "My major course work foster</w:t>
            </w:r>
            <w:r>
              <w:rPr>
                <w:rFonts w:eastAsia="Times New Roman" w:cs="Tahoma"/>
              </w:rPr>
              <w:t xml:space="preserve">ed the development of necessary </w:t>
            </w:r>
            <w:r w:rsidRPr="00130FAB">
              <w:rPr>
                <w:rFonts w:eastAsia="Times New Roman" w:cs="Tahoma"/>
              </w:rPr>
              <w:t xml:space="preserve">skills".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ACC1AF0" w14:textId="539FA3ED" w:rsidR="00A940B0" w:rsidRPr="00845DB8" w:rsidRDefault="006C3518" w:rsidP="00401828">
            <w:r w:rsidRPr="00845DB8">
              <w:t>F</w:t>
            </w:r>
            <w:r>
              <w:t>or each relevant question, on a scale of 1 to 5, 75</w:t>
            </w:r>
            <w:r w:rsidRPr="00845DB8">
              <w:t>% of students will “agree” or “strongly agree”.</w:t>
            </w:r>
          </w:p>
        </w:tc>
      </w:tr>
      <w:tr w:rsidR="00A940B0" w:rsidRPr="00CE6A17" w14:paraId="3F410800" w14:textId="77777777" w:rsidTr="00A46650">
        <w:trPr>
          <w:trHeight w:val="832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182D921B" w14:textId="77777777" w:rsidR="00A940B0" w:rsidRPr="00CE6A17" w:rsidRDefault="00A940B0" w:rsidP="00401828"/>
        </w:tc>
        <w:tc>
          <w:tcPr>
            <w:tcW w:w="28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AD161" w14:textId="77777777" w:rsidR="00A940B0" w:rsidRPr="00CE6A17" w:rsidRDefault="00A940B0" w:rsidP="00401828"/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C4F3939" w14:textId="4BBCF5CA" w:rsidR="00A940B0" w:rsidRPr="00845DB8" w:rsidRDefault="00A940B0" w:rsidP="00401828">
            <w:r w:rsidRPr="00130FAB">
              <w:rPr>
                <w:rFonts w:eastAsia="Times New Roman" w:cs="Tahoma"/>
              </w:rPr>
              <w:t>Tow</w:t>
            </w:r>
            <w:r>
              <w:rPr>
                <w:rFonts w:eastAsia="Times New Roman" w:cs="Tahoma"/>
              </w:rPr>
              <w:t>ards the end of the semester, a</w:t>
            </w:r>
            <w:r w:rsidRPr="00130FAB">
              <w:rPr>
                <w:rFonts w:eastAsia="Times New Roman" w:cs="Tahoma"/>
              </w:rPr>
              <w:t xml:space="preserve"> survey will be given to students enrolled in the capstone </w:t>
            </w:r>
            <w:r>
              <w:rPr>
                <w:rFonts w:eastAsia="Times New Roman" w:cs="Tahoma"/>
              </w:rPr>
              <w:t xml:space="preserve">ASL 495 </w:t>
            </w:r>
            <w:r w:rsidRPr="00130FAB">
              <w:rPr>
                <w:rFonts w:eastAsia="Times New Roman" w:cs="Tahoma"/>
              </w:rPr>
              <w:t>course</w:t>
            </w:r>
            <w:r>
              <w:rPr>
                <w:rFonts w:eastAsia="Times New Roman" w:cs="Tahoma"/>
              </w:rPr>
              <w:t xml:space="preserve">. This survey will include questions such as </w:t>
            </w:r>
            <w:r w:rsidRPr="00130FAB">
              <w:rPr>
                <w:rFonts w:eastAsia="Times New Roman" w:cs="Tahoma"/>
              </w:rPr>
              <w:t>"I am satisfied with the analytical (decision making) skills th</w:t>
            </w:r>
            <w:r>
              <w:rPr>
                <w:rFonts w:eastAsia="Times New Roman" w:cs="Tahoma"/>
              </w:rPr>
              <w:t>at I obtained in this program</w:t>
            </w:r>
            <w:r w:rsidRPr="00130FAB">
              <w:rPr>
                <w:rFonts w:eastAsia="Times New Roman" w:cs="Tahoma"/>
              </w:rPr>
              <w:t>" and</w:t>
            </w:r>
            <w:r>
              <w:rPr>
                <w:rFonts w:eastAsia="Times New Roman" w:cs="Tahoma"/>
              </w:rPr>
              <w:t xml:space="preserve"> "Coursework</w:t>
            </w:r>
            <w:r w:rsidRPr="00130FAB">
              <w:rPr>
                <w:rFonts w:eastAsia="Times New Roman" w:cs="Tahoma"/>
              </w:rPr>
              <w:t xml:space="preserve"> prepared me for working effectively </w:t>
            </w:r>
            <w:r>
              <w:rPr>
                <w:rFonts w:eastAsia="Times New Roman" w:cs="Tahoma"/>
              </w:rPr>
              <w:t>as a member of a group or team".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532863" w14:textId="4067BCAC" w:rsidR="00A940B0" w:rsidRPr="00845DB8" w:rsidRDefault="006C3518" w:rsidP="00401828">
            <w:r w:rsidRPr="00845DB8">
              <w:t>F</w:t>
            </w:r>
            <w:r>
              <w:t>or each relevant question, on a scale of 1 to 5, 85</w:t>
            </w:r>
            <w:r w:rsidRPr="00845DB8">
              <w:t>% of students will “agree” or “strongly agree”.</w:t>
            </w:r>
          </w:p>
        </w:tc>
      </w:tr>
      <w:tr w:rsidR="00401828" w:rsidRPr="00CE6A17" w14:paraId="46C3CF3C" w14:textId="77777777" w:rsidTr="007C0BB5">
        <w:trPr>
          <w:trHeight w:val="292"/>
        </w:trPr>
        <w:tc>
          <w:tcPr>
            <w:tcW w:w="144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4B5351F" w14:textId="77777777" w:rsidR="00401828" w:rsidRPr="001E34A2" w:rsidRDefault="00401828" w:rsidP="00401828">
            <w:pPr>
              <w:jc w:val="center"/>
              <w:rPr>
                <w:b/>
              </w:rPr>
            </w:pPr>
            <w:r w:rsidRPr="001E34A2">
              <w:rPr>
                <w:b/>
              </w:rPr>
              <w:t>Student Achievement</w:t>
            </w:r>
          </w:p>
        </w:tc>
      </w:tr>
      <w:tr w:rsidR="00401828" w:rsidRPr="00CE6A17" w14:paraId="159B81F6" w14:textId="77777777" w:rsidTr="00A46650">
        <w:trPr>
          <w:trHeight w:val="8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45CEF443" w14:textId="235075D7" w:rsidR="00401828" w:rsidRPr="00CE6A17" w:rsidRDefault="00401828" w:rsidP="00401828">
            <w:r>
              <w:lastRenderedPageBreak/>
              <w:t xml:space="preserve">Student Achievement – Post-Graduate  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7D8D20" w14:textId="6040631E" w:rsidR="00401828" w:rsidRPr="00CE6A17" w:rsidRDefault="00401828" w:rsidP="00401828">
            <w:r>
              <w:t>The ASL program graduates are prepared for employment and/or post-graduate educational positions.</w:t>
            </w:r>
          </w:p>
        </w:tc>
        <w:tc>
          <w:tcPr>
            <w:tcW w:w="5850" w:type="dxa"/>
            <w:tcBorders>
              <w:top w:val="single" w:sz="18" w:space="0" w:color="auto"/>
            </w:tcBorders>
            <w:shd w:val="clear" w:color="auto" w:fill="auto"/>
          </w:tcPr>
          <w:p w14:paraId="7E9BD5D8" w14:textId="6D0E82B9" w:rsidR="00401828" w:rsidRPr="00CE6A17" w:rsidRDefault="00401828" w:rsidP="00401828">
            <w:r>
              <w:t>Students in capstone course ASL 495 answer a survey about their readiness for employment and/or post-graduate educational positions.</w:t>
            </w:r>
          </w:p>
        </w:tc>
        <w:tc>
          <w:tcPr>
            <w:tcW w:w="36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B67BBC7" w14:textId="1C0DD2E8" w:rsidR="00401828" w:rsidRPr="00CE6A17" w:rsidRDefault="00401828" w:rsidP="00401828">
            <w:r>
              <w:t>At least 60% of the students will indicate they plan to attend graduate school in ASL.</w:t>
            </w:r>
          </w:p>
        </w:tc>
      </w:tr>
      <w:tr w:rsidR="00401828" w:rsidRPr="00CE6A17" w14:paraId="313BBAFE" w14:textId="77777777" w:rsidTr="00A46650">
        <w:trPr>
          <w:trHeight w:val="832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09D5647B" w14:textId="77777777" w:rsidR="00401828" w:rsidRPr="00CE6A17" w:rsidRDefault="00401828" w:rsidP="00401828"/>
        </w:tc>
        <w:tc>
          <w:tcPr>
            <w:tcW w:w="288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A7C794E" w14:textId="77777777" w:rsidR="00401828" w:rsidRPr="00CE6A17" w:rsidRDefault="00401828" w:rsidP="00401828"/>
        </w:tc>
        <w:tc>
          <w:tcPr>
            <w:tcW w:w="5850" w:type="dxa"/>
            <w:tcBorders>
              <w:bottom w:val="single" w:sz="18" w:space="0" w:color="auto"/>
            </w:tcBorders>
            <w:shd w:val="clear" w:color="auto" w:fill="auto"/>
          </w:tcPr>
          <w:p w14:paraId="74468F22" w14:textId="2D03CAB8" w:rsidR="00401828" w:rsidRPr="00CE6A17" w:rsidRDefault="00401828" w:rsidP="00401828">
            <w:r>
              <w:t xml:space="preserve">The graduating student survey asks students about whether they feel prepared to assume the responsibilities of their chosen profession (question 22).  </w:t>
            </w:r>
          </w:p>
        </w:tc>
        <w:tc>
          <w:tcPr>
            <w:tcW w:w="36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EDF779" w14:textId="7E4F5413" w:rsidR="00401828" w:rsidRPr="00CE6A17" w:rsidRDefault="00401828" w:rsidP="00401828">
            <w:r>
              <w:t>A</w:t>
            </w:r>
            <w:r w:rsidR="00C2266D">
              <w:t>t least 75% of students will “</w:t>
            </w:r>
            <w:r>
              <w:t>agree</w:t>
            </w:r>
            <w:r w:rsidR="00C2266D">
              <w:t>”</w:t>
            </w:r>
            <w:r>
              <w:t xml:space="preserve"> or </w:t>
            </w:r>
            <w:r w:rsidR="00C2266D">
              <w:t>“</w:t>
            </w:r>
            <w:r>
              <w:t>strongly agree</w:t>
            </w:r>
            <w:r w:rsidR="00C2266D">
              <w:t>” (on a scale of 1 to 5) that</w:t>
            </w:r>
            <w:r>
              <w:t xml:space="preserve"> their experiences prepared them to assume the responsibilitie</w:t>
            </w:r>
            <w:r w:rsidR="00C4293B">
              <w:t>s of their chosen profession.</w:t>
            </w:r>
          </w:p>
        </w:tc>
      </w:tr>
    </w:tbl>
    <w:p w14:paraId="5B817A8A" w14:textId="77777777" w:rsidR="00C52F68" w:rsidRPr="0066523C" w:rsidRDefault="00C52F68" w:rsidP="0066523C">
      <w:pPr>
        <w:jc w:val="center"/>
        <w:rPr>
          <w:sz w:val="20"/>
        </w:rPr>
      </w:pPr>
    </w:p>
    <w:sectPr w:rsidR="00C52F68" w:rsidRPr="0066523C" w:rsidSect="003B120A">
      <w:pgSz w:w="15840" w:h="12240" w:orient="landscape"/>
      <w:pgMar w:top="432" w:right="432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D"/>
    <w:rsid w:val="001264A7"/>
    <w:rsid w:val="00150ACA"/>
    <w:rsid w:val="0017218A"/>
    <w:rsid w:val="0017619E"/>
    <w:rsid w:val="001C42AA"/>
    <w:rsid w:val="001E34A2"/>
    <w:rsid w:val="00375E05"/>
    <w:rsid w:val="003B120A"/>
    <w:rsid w:val="003E633C"/>
    <w:rsid w:val="00401828"/>
    <w:rsid w:val="004C2A04"/>
    <w:rsid w:val="004E7768"/>
    <w:rsid w:val="0066523C"/>
    <w:rsid w:val="006A377B"/>
    <w:rsid w:val="006C3518"/>
    <w:rsid w:val="00721B0F"/>
    <w:rsid w:val="007C0BB5"/>
    <w:rsid w:val="008C27E6"/>
    <w:rsid w:val="008C512F"/>
    <w:rsid w:val="008D356E"/>
    <w:rsid w:val="00905F8D"/>
    <w:rsid w:val="00964C23"/>
    <w:rsid w:val="009876BD"/>
    <w:rsid w:val="009A6857"/>
    <w:rsid w:val="009E4E54"/>
    <w:rsid w:val="00A02322"/>
    <w:rsid w:val="00A11576"/>
    <w:rsid w:val="00A46650"/>
    <w:rsid w:val="00A65E56"/>
    <w:rsid w:val="00A940B0"/>
    <w:rsid w:val="00B97442"/>
    <w:rsid w:val="00C2266D"/>
    <w:rsid w:val="00C4293B"/>
    <w:rsid w:val="00C52F68"/>
    <w:rsid w:val="00C65248"/>
    <w:rsid w:val="00C81A2B"/>
    <w:rsid w:val="00C975D7"/>
    <w:rsid w:val="00CE6A17"/>
    <w:rsid w:val="00D66FE9"/>
    <w:rsid w:val="00DD0784"/>
    <w:rsid w:val="00DE1531"/>
    <w:rsid w:val="00ED2EC2"/>
    <w:rsid w:val="00EF2915"/>
    <w:rsid w:val="00F4231D"/>
    <w:rsid w:val="00F56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FCB8F0"/>
  <w15:docId w15:val="{B108AF63-5866-48C7-A6D2-4A85676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3E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qFormat/>
    <w:rsid w:val="0052553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Abstract">
    <w:name w:val="APA Abstract"/>
    <w:basedOn w:val="Normal"/>
    <w:rsid w:val="00525532"/>
    <w:pPr>
      <w:widowControl w:val="0"/>
      <w:tabs>
        <w:tab w:val="left" w:pos="9360"/>
      </w:tabs>
      <w:spacing w:line="480" w:lineRule="auto"/>
    </w:pPr>
    <w:rPr>
      <w:rFonts w:ascii="Arial" w:hAnsi="Arial"/>
      <w:szCs w:val="20"/>
    </w:rPr>
  </w:style>
  <w:style w:type="paragraph" w:customStyle="1" w:styleId="APAheading1">
    <w:name w:val="APA heading 1"/>
    <w:basedOn w:val="Heading2"/>
    <w:next w:val="Normal"/>
    <w:rsid w:val="00525532"/>
    <w:pPr>
      <w:spacing w:before="0" w:after="0" w:line="480" w:lineRule="auto"/>
      <w:jc w:val="center"/>
    </w:pPr>
    <w:rPr>
      <w:b w:val="0"/>
      <w:i w:val="0"/>
      <w:sz w:val="24"/>
      <w:szCs w:val="20"/>
    </w:rPr>
  </w:style>
  <w:style w:type="paragraph" w:customStyle="1" w:styleId="APAheading2">
    <w:name w:val="APA heading 2"/>
    <w:basedOn w:val="Normal"/>
    <w:next w:val="Normal"/>
    <w:rsid w:val="00525532"/>
    <w:pPr>
      <w:widowControl w:val="0"/>
      <w:spacing w:line="480" w:lineRule="auto"/>
      <w:outlineLvl w:val="2"/>
    </w:pPr>
    <w:rPr>
      <w:rFonts w:ascii="Arial" w:hAnsi="Arial"/>
      <w:szCs w:val="20"/>
      <w:u w:val="single"/>
    </w:rPr>
  </w:style>
  <w:style w:type="paragraph" w:customStyle="1" w:styleId="APAheading3">
    <w:name w:val="APA heading 3"/>
    <w:basedOn w:val="APAheading2"/>
    <w:rsid w:val="00525532"/>
    <w:pPr>
      <w:ind w:firstLine="720"/>
      <w:outlineLvl w:val="3"/>
    </w:pPr>
  </w:style>
  <w:style w:type="paragraph" w:customStyle="1" w:styleId="APAParagraph">
    <w:name w:val="APA Paragraph"/>
    <w:basedOn w:val="Normal"/>
    <w:rsid w:val="00525532"/>
    <w:pPr>
      <w:widowControl w:val="0"/>
      <w:spacing w:line="480" w:lineRule="auto"/>
      <w:ind w:firstLine="720"/>
    </w:pPr>
    <w:rPr>
      <w:rFonts w:ascii="Arial" w:hAnsi="Arial"/>
      <w:szCs w:val="20"/>
    </w:rPr>
  </w:style>
  <w:style w:type="table" w:styleId="TableGrid">
    <w:name w:val="Table Grid"/>
    <w:basedOn w:val="TableNormal"/>
    <w:rsid w:val="00C52F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Kellum</dc:creator>
  <cp:keywords/>
  <cp:lastModifiedBy>Kayla Arrington</cp:lastModifiedBy>
  <cp:revision>19</cp:revision>
  <cp:lastPrinted>2011-02-25T16:46:00Z</cp:lastPrinted>
  <dcterms:created xsi:type="dcterms:W3CDTF">2015-10-27T14:46:00Z</dcterms:created>
  <dcterms:modified xsi:type="dcterms:W3CDTF">2016-05-10T18:55:00Z</dcterms:modified>
</cp:coreProperties>
</file>