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0B13" w14:textId="547C6BB6" w:rsidR="00C52F68" w:rsidRDefault="00905F8D" w:rsidP="00252B42">
      <w:pPr>
        <w:spacing w:after="60"/>
        <w:jc w:val="center"/>
        <w:outlineLvl w:val="0"/>
        <w:rPr>
          <w:smallCaps/>
        </w:rPr>
      </w:pPr>
      <w:r>
        <w:rPr>
          <w:smallCaps/>
        </w:rPr>
        <w:t xml:space="preserve">Example </w:t>
      </w:r>
      <w:r w:rsidR="0066523C" w:rsidRPr="00D65A2F">
        <w:rPr>
          <w:smallCaps/>
        </w:rPr>
        <w:t>Assessment Plan</w:t>
      </w:r>
      <w:r w:rsidR="00C52F68" w:rsidRPr="00D65A2F">
        <w:rPr>
          <w:smallCaps/>
        </w:rPr>
        <w:t xml:space="preserve"> </w:t>
      </w:r>
      <w:r>
        <w:rPr>
          <w:smallCaps/>
        </w:rPr>
        <w:t>for Academic Programs</w:t>
      </w:r>
      <w:r w:rsidR="001E34A2">
        <w:rPr>
          <w:smallCaps/>
        </w:rPr>
        <w:t xml:space="preserve"> </w:t>
      </w:r>
      <w:r w:rsidR="00032D63">
        <w:rPr>
          <w:smallCaps/>
        </w:rPr>
        <w:t>– Fine Arts</w:t>
      </w:r>
    </w:p>
    <w:p w14:paraId="4EE7A694" w14:textId="77777777" w:rsidR="001E34A2" w:rsidRPr="00D65A2F" w:rsidRDefault="001E34A2" w:rsidP="00CE5932">
      <w:pPr>
        <w:spacing w:after="60"/>
        <w:jc w:val="center"/>
        <w:outlineLvl w:val="1"/>
        <w:rPr>
          <w:smallCaps/>
        </w:rPr>
      </w:pPr>
      <w:r>
        <w:rPr>
          <w:smallCaps/>
        </w:rPr>
        <w:t>Including Student Learning, Educational Program and Student Achievement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12078"/>
      </w:tblGrid>
      <w:tr w:rsidR="00C52F68" w:rsidRPr="00CE6A17" w14:paraId="5FBF7619" w14:textId="77777777" w:rsidTr="00252B42">
        <w:trPr>
          <w:trHeight w:val="377"/>
        </w:trPr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E4AF7" w14:textId="77777777" w:rsidR="00C52F68" w:rsidRPr="00CE6A17" w:rsidRDefault="00C52F68" w:rsidP="00252B42">
            <w:pPr>
              <w:jc w:val="right"/>
              <w:outlineLvl w:val="1"/>
              <w:rPr>
                <w:sz w:val="20"/>
              </w:rPr>
            </w:pPr>
            <w:r w:rsidRPr="00CE6A17">
              <w:rPr>
                <w:sz w:val="20"/>
              </w:rPr>
              <w:t>Program/Unit Name</w:t>
            </w:r>
          </w:p>
        </w:tc>
        <w:tc>
          <w:tcPr>
            <w:tcW w:w="12078" w:type="dxa"/>
            <w:shd w:val="clear" w:color="auto" w:fill="auto"/>
          </w:tcPr>
          <w:p w14:paraId="7BBEBF57" w14:textId="315DAC5A" w:rsidR="00C52F68" w:rsidRPr="00CE6A17" w:rsidRDefault="00F567F1" w:rsidP="00252B42">
            <w:pPr>
              <w:outlineLvl w:val="2"/>
            </w:pPr>
            <w:r>
              <w:t>M</w:t>
            </w:r>
            <w:r w:rsidR="00B074F0">
              <w:t>usical Theatre</w:t>
            </w:r>
            <w:r w:rsidR="00905F8D">
              <w:t>, B.A.</w:t>
            </w:r>
          </w:p>
        </w:tc>
      </w:tr>
      <w:tr w:rsidR="00C52F68" w:rsidRPr="00CE6A17" w14:paraId="2BC656AE" w14:textId="77777777" w:rsidTr="00CE6A17">
        <w:trPr>
          <w:trHeight w:val="548"/>
        </w:trPr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2282E9" w14:textId="77777777" w:rsidR="00C52F68" w:rsidRPr="00CE6A17" w:rsidRDefault="00C52F68" w:rsidP="00252B42">
            <w:pPr>
              <w:jc w:val="right"/>
              <w:outlineLvl w:val="1"/>
              <w:rPr>
                <w:sz w:val="20"/>
              </w:rPr>
            </w:pPr>
            <w:r w:rsidRPr="00CE6A17">
              <w:rPr>
                <w:sz w:val="20"/>
              </w:rPr>
              <w:t>Description of Faculty Involvement</w:t>
            </w:r>
          </w:p>
        </w:tc>
        <w:tc>
          <w:tcPr>
            <w:tcW w:w="12078" w:type="dxa"/>
            <w:shd w:val="clear" w:color="auto" w:fill="auto"/>
          </w:tcPr>
          <w:p w14:paraId="7A04F8B6" w14:textId="499162A8" w:rsidR="00C52F68" w:rsidRPr="00CE6A17" w:rsidRDefault="00905F8D" w:rsidP="00252B42">
            <w:pPr>
              <w:outlineLvl w:val="2"/>
            </w:pPr>
            <w:r>
              <w:t xml:space="preserve">The </w:t>
            </w:r>
            <w:r w:rsidR="006C654F">
              <w:t>Musical Theatre faculty</w:t>
            </w:r>
            <w:r>
              <w:t xml:space="preserve"> meet regularly to develop outcomes, assess the extent to which those outcomes are achieved and implement improvements based on that assessment. A subgroup of </w:t>
            </w:r>
            <w:r w:rsidR="006C654F">
              <w:t>Musical Theatre</w:t>
            </w:r>
            <w:r>
              <w:t xml:space="preserve"> faculty belong</w:t>
            </w:r>
            <w:r w:rsidR="00A02322">
              <w:t>s</w:t>
            </w:r>
            <w:r>
              <w:t xml:space="preserve"> to the assessment committee </w:t>
            </w:r>
            <w:r w:rsidR="00A02322">
              <w:t>that</w:t>
            </w:r>
            <w:r>
              <w:t xml:space="preserve"> oversees this process. During the firs</w:t>
            </w:r>
            <w:r w:rsidR="00255CDC">
              <w:t>t spring faculty meeting in 2015-2016</w:t>
            </w:r>
            <w:r>
              <w:t>, the current outcomes and means</w:t>
            </w:r>
            <w:r w:rsidR="00252B42">
              <w:t xml:space="preserve"> of assessment were approved.</w:t>
            </w:r>
          </w:p>
        </w:tc>
      </w:tr>
    </w:tbl>
    <w:p w14:paraId="72F80EB9" w14:textId="77777777" w:rsidR="00C52F68" w:rsidRDefault="00C52F68" w:rsidP="00C52F68">
      <w:pPr>
        <w:spacing w:line="1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2880"/>
        <w:gridCol w:w="5670"/>
        <w:gridCol w:w="4356"/>
      </w:tblGrid>
      <w:tr w:rsidR="00CE6A17" w:rsidRPr="00CE6A17" w14:paraId="35909168" w14:textId="77777777" w:rsidTr="00C124BB">
        <w:tc>
          <w:tcPr>
            <w:tcW w:w="1998" w:type="dxa"/>
            <w:shd w:val="clear" w:color="auto" w:fill="auto"/>
          </w:tcPr>
          <w:p w14:paraId="3159D448" w14:textId="77777777" w:rsidR="00C52F68" w:rsidRPr="00CE6A17" w:rsidRDefault="00C52F68" w:rsidP="00252B42">
            <w:pPr>
              <w:jc w:val="center"/>
              <w:outlineLvl w:val="1"/>
              <w:rPr>
                <w:sz w:val="20"/>
              </w:rPr>
            </w:pPr>
            <w:r w:rsidRPr="00CE6A17">
              <w:rPr>
                <w:sz w:val="20"/>
              </w:rPr>
              <w:t>Outcome Names</w:t>
            </w:r>
            <w:r w:rsidR="0066523C" w:rsidRPr="00CE6A17">
              <w:rPr>
                <w:sz w:val="20"/>
              </w:rPr>
              <w:br/>
              <w:t>(short)</w:t>
            </w:r>
          </w:p>
        </w:tc>
        <w:tc>
          <w:tcPr>
            <w:tcW w:w="2880" w:type="dxa"/>
            <w:shd w:val="clear" w:color="auto" w:fill="auto"/>
          </w:tcPr>
          <w:p w14:paraId="5E319869" w14:textId="77777777" w:rsidR="00C52F68" w:rsidRPr="00CE6A17" w:rsidRDefault="00C52F68" w:rsidP="00252B42">
            <w:pPr>
              <w:jc w:val="center"/>
              <w:outlineLvl w:val="1"/>
              <w:rPr>
                <w:sz w:val="20"/>
              </w:rPr>
            </w:pPr>
            <w:r w:rsidRPr="00CE6A17">
              <w:rPr>
                <w:sz w:val="20"/>
              </w:rPr>
              <w:t>Outcomes</w:t>
            </w:r>
            <w:r w:rsidR="0066523C" w:rsidRPr="00CE6A17">
              <w:rPr>
                <w:sz w:val="20"/>
              </w:rPr>
              <w:br/>
              <w:t>(Service or Student Learning)</w:t>
            </w:r>
          </w:p>
        </w:tc>
        <w:tc>
          <w:tcPr>
            <w:tcW w:w="5670" w:type="dxa"/>
            <w:shd w:val="clear" w:color="auto" w:fill="auto"/>
          </w:tcPr>
          <w:p w14:paraId="2FB0CE36" w14:textId="77777777" w:rsidR="00C52F68" w:rsidRPr="00CE6A17" w:rsidRDefault="00C52F68" w:rsidP="00252B42">
            <w:pPr>
              <w:jc w:val="center"/>
              <w:outlineLvl w:val="1"/>
              <w:rPr>
                <w:sz w:val="20"/>
              </w:rPr>
            </w:pPr>
            <w:r w:rsidRPr="00CE6A17">
              <w:rPr>
                <w:sz w:val="20"/>
              </w:rPr>
              <w:t>Means of Assessment</w:t>
            </w:r>
            <w:r w:rsidR="0066523C" w:rsidRPr="00CE6A17">
              <w:rPr>
                <w:sz w:val="20"/>
              </w:rPr>
              <w:br/>
            </w:r>
            <w:r w:rsidR="0066523C" w:rsidRPr="00CE6A17">
              <w:rPr>
                <w:sz w:val="18"/>
              </w:rPr>
              <w:t>(what will be assessed, by whom, when, and how)</w:t>
            </w:r>
          </w:p>
        </w:tc>
        <w:tc>
          <w:tcPr>
            <w:tcW w:w="4356" w:type="dxa"/>
            <w:shd w:val="clear" w:color="auto" w:fill="auto"/>
          </w:tcPr>
          <w:p w14:paraId="2CE3ADD5" w14:textId="77777777" w:rsidR="00C52F68" w:rsidRPr="00CE6A17" w:rsidRDefault="00C52F68" w:rsidP="00252B42">
            <w:pPr>
              <w:jc w:val="center"/>
              <w:outlineLvl w:val="1"/>
              <w:rPr>
                <w:sz w:val="20"/>
              </w:rPr>
            </w:pPr>
            <w:r w:rsidRPr="00CE6A17">
              <w:rPr>
                <w:sz w:val="20"/>
              </w:rPr>
              <w:t>Criteria for Success</w:t>
            </w:r>
            <w:r w:rsidR="0066523C" w:rsidRPr="00CE6A17">
              <w:rPr>
                <w:sz w:val="20"/>
              </w:rPr>
              <w:br/>
              <w:t>(standard of excellence)</w:t>
            </w:r>
          </w:p>
        </w:tc>
      </w:tr>
      <w:tr w:rsidR="001E34A2" w:rsidRPr="00CE6A17" w14:paraId="23EF638B" w14:textId="77777777" w:rsidTr="00C124BB">
        <w:trPr>
          <w:trHeight w:val="386"/>
        </w:trPr>
        <w:tc>
          <w:tcPr>
            <w:tcW w:w="14904" w:type="dxa"/>
            <w:gridSpan w:val="4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06271222" w14:textId="0F70E6BA" w:rsidR="001E34A2" w:rsidRPr="001E34A2" w:rsidRDefault="00032D63" w:rsidP="00252B42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Student Learning</w:t>
            </w:r>
          </w:p>
        </w:tc>
      </w:tr>
      <w:tr w:rsidR="002A607E" w:rsidRPr="00CE6A17" w14:paraId="26E80637" w14:textId="77777777" w:rsidTr="00C124BB">
        <w:trPr>
          <w:trHeight w:val="1875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1CA8006" w14:textId="7BFDD3E8" w:rsidR="002A607E" w:rsidRPr="00CE6A17" w:rsidRDefault="002A607E" w:rsidP="00252B42">
            <w:pPr>
              <w:outlineLvl w:val="2"/>
            </w:pPr>
            <w:r>
              <w:t>St</w:t>
            </w:r>
            <w:r w:rsidR="0083715C">
              <w:t>udent Learning – Knowledge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30DDDA" w14:textId="5AEE97F3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2A607E">
              <w:rPr>
                <w:rFonts w:cs="Tahoma"/>
              </w:rPr>
              <w:t>Students will demonstrate knowledge of</w:t>
            </w:r>
            <w:r w:rsidR="0083715C">
              <w:rPr>
                <w:rFonts w:cs="Tahoma"/>
              </w:rPr>
              <w:t xml:space="preserve"> various musical theatre styles</w:t>
            </w:r>
            <w:r w:rsidRPr="002A607E">
              <w:rPr>
                <w:rFonts w:cs="Tahoma"/>
              </w:rPr>
              <w:t xml:space="preserve">. 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auto"/>
          </w:tcPr>
          <w:p w14:paraId="03BBA14E" w14:textId="74905A5B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2A607E">
              <w:rPr>
                <w:rFonts w:cs="Tahoma"/>
              </w:rPr>
              <w:t>Portfolio Review is mandatory for all BA seniors. This review is administered at the end of the spring</w:t>
            </w:r>
            <w:r>
              <w:rPr>
                <w:rFonts w:cs="Tahoma"/>
              </w:rPr>
              <w:t xml:space="preserve"> semester as a part of MUTH</w:t>
            </w:r>
            <w:r w:rsidRPr="002A607E">
              <w:rPr>
                <w:rFonts w:cs="Tahoma"/>
              </w:rPr>
              <w:t xml:space="preserve"> 499 (Senior Capstone). This review includes a presentation of the</w:t>
            </w:r>
            <w:r>
              <w:rPr>
                <w:rFonts w:cs="Tahoma"/>
              </w:rPr>
              <w:t xml:space="preserve"> student’</w:t>
            </w:r>
            <w:r w:rsidRPr="002A607E">
              <w:rPr>
                <w:rFonts w:cs="Tahoma"/>
              </w:rPr>
              <w:t xml:space="preserve">s portfolio containing an overview of their work in theatre, and an exit interview. A small committee of faculty will be doing the scoring and the results will be discussed at departmental </w:t>
            </w:r>
            <w:bookmarkStart w:id="0" w:name="_GoBack"/>
            <w:bookmarkEnd w:id="0"/>
            <w:r w:rsidRPr="002A607E">
              <w:rPr>
                <w:rFonts w:cs="Tahoma"/>
              </w:rPr>
              <w:t>or curriculum committee meetings.</w:t>
            </w:r>
          </w:p>
        </w:tc>
        <w:tc>
          <w:tcPr>
            <w:tcW w:w="43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6D3F8F2" w14:textId="13219D5B" w:rsidR="002A607E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2A607E">
              <w:rPr>
                <w:rFonts w:cs="Tahoma"/>
              </w:rPr>
              <w:t>For each of the five</w:t>
            </w:r>
            <w:r>
              <w:rPr>
                <w:rFonts w:cs="Tahoma"/>
              </w:rPr>
              <w:t xml:space="preserve"> subject areas, at least 75% of </w:t>
            </w:r>
            <w:r w:rsidRPr="002A607E">
              <w:rPr>
                <w:rFonts w:cs="Tahoma"/>
              </w:rPr>
              <w:t>student scores will be 80% or above.</w:t>
            </w:r>
          </w:p>
          <w:p w14:paraId="5027EE26" w14:textId="5B67ECA4" w:rsidR="002A607E" w:rsidRPr="002A607E" w:rsidRDefault="002A607E" w:rsidP="00C81A2B">
            <w:pPr>
              <w:rPr>
                <w:rFonts w:cs="Tahoma"/>
              </w:rPr>
            </w:pPr>
          </w:p>
        </w:tc>
      </w:tr>
      <w:tr w:rsidR="007C0BB5" w:rsidRPr="00CE6A17" w14:paraId="4F8FCBE4" w14:textId="77777777" w:rsidTr="00C124BB">
        <w:trPr>
          <w:trHeight w:val="4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47C0AC8" w14:textId="77777777" w:rsidR="00C975D7" w:rsidRPr="00CE6A17" w:rsidRDefault="00C975D7" w:rsidP="00252B42">
            <w:pPr>
              <w:outlineLvl w:val="2"/>
            </w:pPr>
          </w:p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B66F40" w14:textId="77777777" w:rsidR="00C975D7" w:rsidRPr="002A607E" w:rsidRDefault="00C975D7" w:rsidP="007C0BB5">
            <w:pPr>
              <w:rPr>
                <w:rFonts w:cs="Tahoma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02D6C6DE" w14:textId="44A9FEB9" w:rsidR="00C975D7" w:rsidRPr="002A607E" w:rsidRDefault="00EF2915" w:rsidP="002A607E">
            <w:pPr>
              <w:rPr>
                <w:rFonts w:cs="Tahoma"/>
              </w:rPr>
            </w:pPr>
            <w:r w:rsidRPr="002A607E">
              <w:rPr>
                <w:rFonts w:cs="Tahoma"/>
              </w:rPr>
              <w:t xml:space="preserve">The graduating student survey asks students about </w:t>
            </w:r>
            <w:r w:rsidR="0083715C">
              <w:rPr>
                <w:rFonts w:cs="Tahoma"/>
              </w:rPr>
              <w:t>how well they acquired knowledge</w:t>
            </w:r>
            <w:r w:rsidR="002A607E">
              <w:rPr>
                <w:rFonts w:cs="Tahoma"/>
              </w:rPr>
              <w:t xml:space="preserve"> </w:t>
            </w:r>
            <w:r w:rsidRPr="002A607E">
              <w:rPr>
                <w:rFonts w:cs="Tahoma"/>
              </w:rPr>
              <w:t xml:space="preserve">(question 23) </w:t>
            </w:r>
          </w:p>
        </w:tc>
        <w:tc>
          <w:tcPr>
            <w:tcW w:w="43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7D33F" w14:textId="0FADB1EF" w:rsidR="00C975D7" w:rsidRPr="002A607E" w:rsidRDefault="002644F8" w:rsidP="002A607E">
            <w:pPr>
              <w:rPr>
                <w:rFonts w:cs="Tahoma"/>
              </w:rPr>
            </w:pPr>
            <w:r>
              <w:rPr>
                <w:rFonts w:cs="Tahoma"/>
              </w:rPr>
              <w:t>At least 80</w:t>
            </w:r>
            <w:r w:rsidR="00DA01BA">
              <w:rPr>
                <w:rFonts w:cs="Tahoma"/>
              </w:rPr>
              <w:t>% of students will</w:t>
            </w:r>
            <w:r w:rsidR="00EF2915" w:rsidRPr="002A607E">
              <w:rPr>
                <w:rFonts w:cs="Tahoma"/>
              </w:rPr>
              <w:t xml:space="preserve"> </w:t>
            </w:r>
            <w:r w:rsidR="00DA01BA">
              <w:rPr>
                <w:rFonts w:cs="Tahoma"/>
              </w:rPr>
              <w:t>“</w:t>
            </w:r>
            <w:r w:rsidR="00EF2915" w:rsidRPr="002A607E">
              <w:rPr>
                <w:rFonts w:cs="Tahoma"/>
              </w:rPr>
              <w:t>agree</w:t>
            </w:r>
            <w:r w:rsidR="00DA01BA">
              <w:rPr>
                <w:rFonts w:cs="Tahoma"/>
              </w:rPr>
              <w:t>”</w:t>
            </w:r>
            <w:r w:rsidR="00EF2915" w:rsidRPr="002A607E">
              <w:rPr>
                <w:rFonts w:cs="Tahoma"/>
              </w:rPr>
              <w:t xml:space="preserve"> or </w:t>
            </w:r>
            <w:r w:rsidR="00DA01BA">
              <w:rPr>
                <w:rFonts w:cs="Tahoma"/>
              </w:rPr>
              <w:t>“</w:t>
            </w:r>
            <w:r w:rsidR="00EF2915" w:rsidRPr="002A607E">
              <w:rPr>
                <w:rFonts w:cs="Tahoma"/>
              </w:rPr>
              <w:t>strongly agree</w:t>
            </w:r>
            <w:r w:rsidR="00DA01BA">
              <w:rPr>
                <w:rFonts w:cs="Tahoma"/>
              </w:rPr>
              <w:t>” (on a scale of 1 to 5) that</w:t>
            </w:r>
            <w:r w:rsidR="00EF2915" w:rsidRPr="002A607E">
              <w:rPr>
                <w:rFonts w:cs="Tahoma"/>
              </w:rPr>
              <w:t xml:space="preserve"> the</w:t>
            </w:r>
            <w:r w:rsidR="0083715C">
              <w:rPr>
                <w:rFonts w:cs="Tahoma"/>
              </w:rPr>
              <w:t>ir experiences made them knowledgeable</w:t>
            </w:r>
            <w:r w:rsidR="00EF2915" w:rsidRPr="002A607E">
              <w:rPr>
                <w:rFonts w:cs="Tahoma"/>
              </w:rPr>
              <w:t xml:space="preserve">. </w:t>
            </w:r>
          </w:p>
        </w:tc>
      </w:tr>
      <w:tr w:rsidR="007C0BB5" w:rsidRPr="00CE6A17" w14:paraId="6E17B881" w14:textId="77777777" w:rsidTr="00C124BB">
        <w:trPr>
          <w:trHeight w:val="597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9A0E36B" w14:textId="6D245829" w:rsidR="00C81A2B" w:rsidRDefault="002A607E" w:rsidP="00252B42">
            <w:pPr>
              <w:outlineLvl w:val="2"/>
            </w:pPr>
            <w:r>
              <w:t xml:space="preserve">Student Learning </w:t>
            </w:r>
            <w:r w:rsidR="00255CDC">
              <w:t>–</w:t>
            </w:r>
            <w:r>
              <w:t xml:space="preserve"> Musicianship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412914" w14:textId="303F8E5F" w:rsidR="00C81A2B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2A607E">
              <w:rPr>
                <w:rFonts w:cs="Tahoma"/>
              </w:rPr>
              <w:t>Students will demonstrate the ability to make personal interpretive decisions on their vocal style.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auto"/>
          </w:tcPr>
          <w:p w14:paraId="6AD1E0B8" w14:textId="42B15335" w:rsidR="00C81A2B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2A607E">
              <w:rPr>
                <w:rFonts w:cs="Tahoma"/>
              </w:rPr>
              <w:t xml:space="preserve">At the </w:t>
            </w:r>
            <w:r>
              <w:rPr>
                <w:rFonts w:cs="Tahoma"/>
              </w:rPr>
              <w:t xml:space="preserve">end of each semester, students </w:t>
            </w:r>
            <w:r w:rsidRPr="002A607E">
              <w:rPr>
                <w:rFonts w:cs="Tahoma"/>
              </w:rPr>
              <w:t xml:space="preserve">perform in front </w:t>
            </w:r>
            <w:r>
              <w:rPr>
                <w:rFonts w:cs="Tahoma"/>
              </w:rPr>
              <w:t xml:space="preserve">of their area faculty. Students </w:t>
            </w:r>
            <w:r w:rsidRPr="002A607E">
              <w:rPr>
                <w:rFonts w:cs="Tahoma"/>
              </w:rPr>
              <w:t xml:space="preserve">are assessed at </w:t>
            </w:r>
            <w:r>
              <w:rPr>
                <w:rFonts w:cs="Tahoma"/>
              </w:rPr>
              <w:t xml:space="preserve">the end of their final required </w:t>
            </w:r>
            <w:r w:rsidRPr="002A607E">
              <w:rPr>
                <w:rFonts w:cs="Tahoma"/>
              </w:rPr>
              <w:t>level of st</w:t>
            </w:r>
            <w:r>
              <w:rPr>
                <w:rFonts w:cs="Tahoma"/>
              </w:rPr>
              <w:t xml:space="preserve">udy, MUTH 322. Items on a rubric </w:t>
            </w:r>
            <w:r w:rsidRPr="002A607E">
              <w:rPr>
                <w:rFonts w:cs="Tahoma"/>
              </w:rPr>
              <w:t>referring to</w:t>
            </w:r>
            <w:r>
              <w:rPr>
                <w:rFonts w:cs="Tahoma"/>
              </w:rPr>
              <w:t xml:space="preserve"> interpretive decisions include </w:t>
            </w:r>
            <w:r w:rsidRPr="002A607E">
              <w:rPr>
                <w:rFonts w:cs="Tahoma"/>
              </w:rPr>
              <w:t>phrasi</w:t>
            </w:r>
            <w:r>
              <w:rPr>
                <w:rFonts w:cs="Tahoma"/>
              </w:rPr>
              <w:t xml:space="preserve">ng, dynamics, and stylistically appropriate </w:t>
            </w:r>
            <w:r w:rsidRPr="002A607E">
              <w:rPr>
                <w:rFonts w:cs="Tahoma"/>
              </w:rPr>
              <w:t>interpretative skills.</w:t>
            </w:r>
          </w:p>
        </w:tc>
        <w:tc>
          <w:tcPr>
            <w:tcW w:w="43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0A6E7CF" w14:textId="7F8EB19A" w:rsidR="00C81A2B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Pr="002A607E">
              <w:rPr>
                <w:rFonts w:cs="Tahoma"/>
              </w:rPr>
              <w:t xml:space="preserve">t least </w:t>
            </w:r>
            <w:r w:rsidR="00845DB8">
              <w:rPr>
                <w:rFonts w:cs="Tahoma"/>
              </w:rPr>
              <w:t>7</w:t>
            </w:r>
            <w:r>
              <w:rPr>
                <w:rFonts w:cs="Tahoma"/>
              </w:rPr>
              <w:t xml:space="preserve">5% of students will score 3 or </w:t>
            </w:r>
            <w:r w:rsidRPr="002A607E">
              <w:rPr>
                <w:rFonts w:cs="Tahoma"/>
              </w:rPr>
              <w:t>4 on each it</w:t>
            </w:r>
            <w:r>
              <w:rPr>
                <w:rFonts w:cs="Tahoma"/>
              </w:rPr>
              <w:t xml:space="preserve">em of the rubric that refers to </w:t>
            </w:r>
            <w:r w:rsidRPr="002A607E">
              <w:rPr>
                <w:rFonts w:cs="Tahoma"/>
              </w:rPr>
              <w:t>interpretive dec</w:t>
            </w:r>
            <w:r>
              <w:rPr>
                <w:rFonts w:cs="Tahoma"/>
              </w:rPr>
              <w:t>isions on their vocal style.</w:t>
            </w:r>
          </w:p>
        </w:tc>
      </w:tr>
      <w:tr w:rsidR="007C0BB5" w:rsidRPr="00CE6A17" w14:paraId="7119EFE5" w14:textId="77777777" w:rsidTr="00C124BB">
        <w:trPr>
          <w:trHeight w:val="596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1F0E1192" w14:textId="77777777" w:rsidR="00EF2915" w:rsidRDefault="00EF2915" w:rsidP="007C0BB5"/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C4C64F" w14:textId="77777777" w:rsidR="00EF2915" w:rsidRPr="002A607E" w:rsidRDefault="00EF2915" w:rsidP="007C0BB5">
            <w:pPr>
              <w:rPr>
                <w:rFonts w:cs="Tahoma"/>
              </w:rPr>
            </w:pPr>
          </w:p>
        </w:tc>
        <w:tc>
          <w:tcPr>
            <w:tcW w:w="5670" w:type="dxa"/>
            <w:tcBorders>
              <w:bottom w:val="single" w:sz="18" w:space="0" w:color="auto"/>
            </w:tcBorders>
            <w:shd w:val="clear" w:color="auto" w:fill="auto"/>
          </w:tcPr>
          <w:p w14:paraId="0CF8AE5A" w14:textId="50C3F7E0" w:rsidR="00EF2915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2A607E">
              <w:rPr>
                <w:rFonts w:cs="Tahoma"/>
              </w:rPr>
              <w:t>During the</w:t>
            </w:r>
            <w:r>
              <w:rPr>
                <w:rFonts w:cs="Tahoma"/>
              </w:rPr>
              <w:t xml:space="preserve"> final semester of study, students perform a </w:t>
            </w:r>
            <w:r w:rsidRPr="002A607E">
              <w:rPr>
                <w:rFonts w:cs="Tahoma"/>
              </w:rPr>
              <w:t>recital jury in f</w:t>
            </w:r>
            <w:r>
              <w:rPr>
                <w:rFonts w:cs="Tahoma"/>
              </w:rPr>
              <w:t xml:space="preserve">ront of their area faculty, MUTH </w:t>
            </w:r>
            <w:r w:rsidRPr="002A607E">
              <w:rPr>
                <w:rFonts w:cs="Tahoma"/>
              </w:rPr>
              <w:t>442. Items on a r</w:t>
            </w:r>
            <w:r>
              <w:rPr>
                <w:rFonts w:cs="Tahoma"/>
              </w:rPr>
              <w:t xml:space="preserve">ubric referring to interpretive </w:t>
            </w:r>
            <w:r w:rsidRPr="002A607E">
              <w:rPr>
                <w:rFonts w:cs="Tahoma"/>
              </w:rPr>
              <w:t xml:space="preserve">decisions </w:t>
            </w:r>
            <w:r>
              <w:rPr>
                <w:rFonts w:cs="Tahoma"/>
              </w:rPr>
              <w:t xml:space="preserve">include phrasing, dynamics, and </w:t>
            </w:r>
            <w:r w:rsidRPr="002A607E">
              <w:rPr>
                <w:rFonts w:cs="Tahoma"/>
              </w:rPr>
              <w:t>stylistically appropriate interpretative skills.</w:t>
            </w:r>
          </w:p>
        </w:tc>
        <w:tc>
          <w:tcPr>
            <w:tcW w:w="43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456AAB" w14:textId="607FC4B0" w:rsidR="00EF2915" w:rsidRPr="002A607E" w:rsidRDefault="002A607E" w:rsidP="002A607E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Pr="002A607E">
              <w:rPr>
                <w:rFonts w:cs="Tahoma"/>
              </w:rPr>
              <w:t xml:space="preserve">t least </w:t>
            </w:r>
            <w:r w:rsidR="00845DB8">
              <w:rPr>
                <w:rFonts w:cs="Tahoma"/>
              </w:rPr>
              <w:t>7</w:t>
            </w:r>
            <w:r>
              <w:rPr>
                <w:rFonts w:cs="Tahoma"/>
              </w:rPr>
              <w:t xml:space="preserve">5% of students will score 3 or </w:t>
            </w:r>
            <w:r w:rsidRPr="002A607E">
              <w:rPr>
                <w:rFonts w:cs="Tahoma"/>
              </w:rPr>
              <w:t>4 on all recital jury items</w:t>
            </w:r>
            <w:r>
              <w:rPr>
                <w:rFonts w:cs="Tahoma"/>
              </w:rPr>
              <w:t xml:space="preserve"> referring to personal </w:t>
            </w:r>
            <w:r w:rsidRPr="002A607E">
              <w:rPr>
                <w:rFonts w:cs="Tahoma"/>
              </w:rPr>
              <w:t>interpretative decisions</w:t>
            </w:r>
            <w:r>
              <w:rPr>
                <w:rFonts w:cs="Tahoma"/>
              </w:rPr>
              <w:t>.</w:t>
            </w:r>
          </w:p>
        </w:tc>
      </w:tr>
      <w:tr w:rsidR="001E34A2" w:rsidRPr="00CE6A17" w14:paraId="2E9025A8" w14:textId="77777777" w:rsidTr="00C124BB">
        <w:trPr>
          <w:trHeight w:val="368"/>
        </w:trPr>
        <w:tc>
          <w:tcPr>
            <w:tcW w:w="1490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14:paraId="74EC76A2" w14:textId="366F436C" w:rsidR="001E34A2" w:rsidRPr="001E34A2" w:rsidRDefault="00032D63" w:rsidP="001E34A2">
            <w:pPr>
              <w:jc w:val="center"/>
              <w:rPr>
                <w:b/>
              </w:rPr>
            </w:pPr>
            <w:r>
              <w:rPr>
                <w:b/>
              </w:rPr>
              <w:t>Educational Program</w:t>
            </w:r>
          </w:p>
        </w:tc>
      </w:tr>
      <w:tr w:rsidR="00CE6A17" w:rsidRPr="00CE6A17" w14:paraId="37E84D5E" w14:textId="77777777" w:rsidTr="00C124BB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015ACC" w14:textId="77777777" w:rsidR="00C52F68" w:rsidRPr="00CE6A17" w:rsidRDefault="0017218A" w:rsidP="007C0BB5">
            <w:r>
              <w:lastRenderedPageBreak/>
              <w:t>Educational Program – Advising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529DD" w14:textId="6E169034" w:rsidR="00C52F68" w:rsidRPr="00CE6A17" w:rsidRDefault="00150ACA" w:rsidP="005D45A4">
            <w:r>
              <w:t xml:space="preserve">The </w:t>
            </w:r>
            <w:r w:rsidR="005D45A4">
              <w:t>Musical Theatre</w:t>
            </w:r>
            <w:r>
              <w:t xml:space="preserve"> program provides effective advising.</w:t>
            </w:r>
            <w:r w:rsidR="00252B42">
              <w:t xml:space="preserve"> 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3D08A" w14:textId="52648932" w:rsidR="005D45A4" w:rsidRPr="005D45A4" w:rsidRDefault="005D45A4" w:rsidP="005D45A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>The graduating student survey asks students about their advis</w:t>
            </w:r>
            <w:r>
              <w:rPr>
                <w:rFonts w:cs="Tahoma"/>
              </w:rPr>
              <w:t xml:space="preserve">ing </w:t>
            </w:r>
            <w:r w:rsidRPr="005D45A4">
              <w:rPr>
                <w:rFonts w:cs="Tahoma"/>
              </w:rPr>
              <w:t xml:space="preserve">experience (e.g., #34 level of satisfaction with … “academic advising in your school or department” and </w:t>
            </w:r>
            <w:r>
              <w:rPr>
                <w:rFonts w:cs="Tahoma"/>
              </w:rPr>
              <w:t>#</w:t>
            </w:r>
            <w:r w:rsidRPr="005D45A4">
              <w:rPr>
                <w:rFonts w:cs="Tahoma"/>
              </w:rPr>
              <w:t xml:space="preserve">90 for the </w:t>
            </w:r>
            <w:r w:rsidR="00665AF0">
              <w:rPr>
                <w:rFonts w:cs="Tahoma"/>
              </w:rPr>
              <w:t xml:space="preserve">musical </w:t>
            </w:r>
            <w:r w:rsidRPr="005D45A4">
              <w:rPr>
                <w:rFonts w:cs="Tahoma"/>
              </w:rPr>
              <w:t xml:space="preserve">theatre </w:t>
            </w:r>
            <w:r>
              <w:rPr>
                <w:rFonts w:cs="Tahoma"/>
              </w:rPr>
              <w:t>department “</w:t>
            </w:r>
            <w:r w:rsidRPr="005D45A4">
              <w:rPr>
                <w:rFonts w:cs="Tahoma"/>
              </w:rPr>
              <w:t>student advising was adequate”)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03FC06" w14:textId="12C0A90C" w:rsidR="00255CDC" w:rsidRPr="005D45A4" w:rsidRDefault="005D45A4" w:rsidP="005D45A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 xml:space="preserve">For each </w:t>
            </w:r>
            <w:r w:rsidR="00255CDC">
              <w:rPr>
                <w:rFonts w:cs="Tahoma"/>
              </w:rPr>
              <w:t xml:space="preserve">relevant </w:t>
            </w:r>
            <w:r w:rsidRPr="005D45A4">
              <w:rPr>
                <w:rFonts w:cs="Tahoma"/>
              </w:rPr>
              <w:t>question</w:t>
            </w:r>
            <w:r>
              <w:rPr>
                <w:rFonts w:cs="Tahoma"/>
              </w:rPr>
              <w:t>,</w:t>
            </w:r>
            <w:r w:rsidR="00DA01BA">
              <w:rPr>
                <w:rFonts w:cs="Tahoma"/>
              </w:rPr>
              <w:t xml:space="preserve"> on a scale of 1 to 5,</w:t>
            </w:r>
            <w:r w:rsidR="002644F8">
              <w:rPr>
                <w:rFonts w:cs="Tahoma"/>
              </w:rPr>
              <w:t xml:space="preserve"> at least 80</w:t>
            </w:r>
            <w:r>
              <w:rPr>
                <w:rFonts w:cs="Tahoma"/>
              </w:rPr>
              <w:t xml:space="preserve">% of students will </w:t>
            </w:r>
            <w:r w:rsidR="00255CDC">
              <w:rPr>
                <w:rFonts w:cs="Tahoma"/>
              </w:rPr>
              <w:t>mark “agree” or “strongly agree” that advising in the department was effective</w:t>
            </w:r>
            <w:r w:rsidRPr="005D45A4">
              <w:rPr>
                <w:rFonts w:cs="Tahoma"/>
              </w:rPr>
              <w:t>.</w:t>
            </w:r>
          </w:p>
        </w:tc>
      </w:tr>
      <w:tr w:rsidR="00CE6A17" w:rsidRPr="00CE6A17" w14:paraId="3ED4B5F3" w14:textId="77777777" w:rsidTr="00C124BB">
        <w:trPr>
          <w:trHeight w:val="83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5ECEB29" w14:textId="77777777" w:rsidR="00C52F68" w:rsidRPr="00CE6A17" w:rsidRDefault="00C52F68" w:rsidP="007C0BB5"/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65FD5" w14:textId="77777777" w:rsidR="00C52F68" w:rsidRPr="00CE6A17" w:rsidRDefault="00C52F68" w:rsidP="007C0BB5"/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FFB7B73" w14:textId="213A156E" w:rsidR="00845DB8" w:rsidRPr="00845DB8" w:rsidRDefault="00255CDC" w:rsidP="00845DB8">
            <w:r w:rsidRPr="00845DB8">
              <w:t>After each advising appointment, students will be emailed a link to anonymously fill out a survey about the effectiveness of that appointment</w:t>
            </w:r>
            <w:r w:rsidR="00845DB8" w:rsidRPr="00845DB8">
              <w:t xml:space="preserve"> (e.g., “This session helped me understand my career or graduate school options” and “I understand what courses I need to take to reach those goals”)</w:t>
            </w:r>
            <w:r w:rsidRPr="00845DB8">
              <w:t xml:space="preserve">  </w:t>
            </w:r>
          </w:p>
          <w:p w14:paraId="0897435A" w14:textId="1729B684" w:rsidR="00255CDC" w:rsidRPr="00845DB8" w:rsidRDefault="00255CDC"/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FF866C" w14:textId="71FDD4F3" w:rsidR="00255CDC" w:rsidRPr="00845DB8" w:rsidRDefault="00DA01BA" w:rsidP="008C512F"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</w:t>
            </w:r>
            <w:r w:rsidRPr="005D45A4">
              <w:rPr>
                <w:rFonts w:cs="Tahoma"/>
              </w:rPr>
              <w:t xml:space="preserve"> at least 75%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255CDC" w:rsidRPr="00CE6A17" w14:paraId="0264C7F4" w14:textId="77777777" w:rsidTr="00C124BB">
        <w:trPr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751479" w14:textId="7899369D" w:rsidR="00255CDC" w:rsidRPr="00CE6A17" w:rsidRDefault="00255CDC" w:rsidP="00255CDC">
            <w:r>
              <w:t>Educational Program – Student Satisfaction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3ED2" w14:textId="2369F2CB" w:rsidR="00255CDC" w:rsidRPr="00CE6A17" w:rsidRDefault="00255CDC" w:rsidP="00255CDC">
            <w:r>
              <w:t>The Musical Theatre program provides satisfactory experiences for its students.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E877" w14:textId="75F97899" w:rsidR="00255CDC" w:rsidRPr="00252B42" w:rsidRDefault="00845DB8" w:rsidP="00845DB8">
            <w:pPr>
              <w:rPr>
                <w:highlight w:val="yellow"/>
              </w:rPr>
            </w:pPr>
            <w:r w:rsidRPr="00130FAB">
              <w:rPr>
                <w:rFonts w:eastAsia="Times New Roman" w:cs="Tahoma"/>
              </w:rPr>
              <w:t>Two questions on the graduating student survey are strongly related to student satisfaction with the pr</w:t>
            </w:r>
            <w:r>
              <w:rPr>
                <w:rFonts w:eastAsia="Times New Roman" w:cs="Tahoma"/>
              </w:rPr>
              <w:t>ogram.  The two questions are "</w:t>
            </w:r>
            <w:r w:rsidRPr="00130FAB">
              <w:rPr>
                <w:rFonts w:eastAsia="Times New Roman" w:cs="Tahoma"/>
              </w:rPr>
              <w:t>I was academically challenged by the course work in my major courses" and "My major course work foster</w:t>
            </w:r>
            <w:r>
              <w:rPr>
                <w:rFonts w:eastAsia="Times New Roman" w:cs="Tahoma"/>
              </w:rPr>
              <w:t>ed the development of leadership</w:t>
            </w:r>
            <w:r w:rsidRPr="00130FAB">
              <w:rPr>
                <w:rFonts w:eastAsia="Times New Roman" w:cs="Tahoma"/>
              </w:rPr>
              <w:t xml:space="preserve"> skills". 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97DF77" w14:textId="43B5C922" w:rsidR="00255CDC" w:rsidRPr="00252B42" w:rsidRDefault="00DA01BA" w:rsidP="00255CDC">
            <w:pPr>
              <w:rPr>
                <w:highlight w:val="yellow"/>
              </w:rPr>
            </w:pPr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</w:t>
            </w:r>
            <w:r w:rsidRPr="005D45A4">
              <w:rPr>
                <w:rFonts w:cs="Tahoma"/>
              </w:rPr>
              <w:t xml:space="preserve"> at least 75%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255CDC" w:rsidRPr="00CE6A17" w14:paraId="3C2C4FC8" w14:textId="77777777" w:rsidTr="00C124BB">
        <w:trPr>
          <w:trHeight w:val="832"/>
        </w:trPr>
        <w:tc>
          <w:tcPr>
            <w:tcW w:w="199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604D8A" w14:textId="77777777" w:rsidR="00255CDC" w:rsidRDefault="00255CDC" w:rsidP="00255CDC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997" w14:textId="77777777" w:rsidR="00255CDC" w:rsidRDefault="00255CDC" w:rsidP="00255CDC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2A3341" w14:textId="7A052B8B" w:rsidR="00255CDC" w:rsidRPr="00845DB8" w:rsidRDefault="00845DB8" w:rsidP="00255CDC">
            <w:pPr>
              <w:rPr>
                <w:rFonts w:eastAsia="Times New Roman" w:cs="Tahoma"/>
              </w:rPr>
            </w:pPr>
            <w:r w:rsidRPr="00130FAB">
              <w:rPr>
                <w:rFonts w:eastAsia="Times New Roman" w:cs="Tahoma"/>
              </w:rPr>
              <w:t>Tow</w:t>
            </w:r>
            <w:r>
              <w:rPr>
                <w:rFonts w:eastAsia="Times New Roman" w:cs="Tahoma"/>
              </w:rPr>
              <w:t>ards the end of the semester, a</w:t>
            </w:r>
            <w:r w:rsidRPr="00130FAB">
              <w:rPr>
                <w:rFonts w:eastAsia="Times New Roman" w:cs="Tahoma"/>
              </w:rPr>
              <w:t> survey will be given to students enrolled in the capstone course</w:t>
            </w:r>
            <w:r>
              <w:rPr>
                <w:rFonts w:eastAsia="Times New Roman" w:cs="Tahoma"/>
              </w:rPr>
              <w:t xml:space="preserve">. This survey will include questions such as </w:t>
            </w:r>
            <w:r w:rsidRPr="00130FAB">
              <w:rPr>
                <w:rFonts w:eastAsia="Times New Roman" w:cs="Tahoma"/>
              </w:rPr>
              <w:t>"I am satisfied with the analytical (decision making) skills th</w:t>
            </w:r>
            <w:r>
              <w:rPr>
                <w:rFonts w:eastAsia="Times New Roman" w:cs="Tahoma"/>
              </w:rPr>
              <w:t>at I obtained in this program</w:t>
            </w:r>
            <w:r w:rsidRPr="00130FAB">
              <w:rPr>
                <w:rFonts w:eastAsia="Times New Roman" w:cs="Tahoma"/>
              </w:rPr>
              <w:t>" and</w:t>
            </w:r>
            <w:r>
              <w:rPr>
                <w:rFonts w:eastAsia="Times New Roman" w:cs="Tahoma"/>
              </w:rPr>
              <w:t xml:space="preserve"> "Coursework</w:t>
            </w:r>
            <w:r w:rsidRPr="00130FAB">
              <w:rPr>
                <w:rFonts w:eastAsia="Times New Roman" w:cs="Tahoma"/>
              </w:rPr>
              <w:t xml:space="preserve"> prepared me for working effectively </w:t>
            </w:r>
            <w:r>
              <w:rPr>
                <w:rFonts w:eastAsia="Times New Roman" w:cs="Tahoma"/>
              </w:rPr>
              <w:t>as a member of a group or team".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FD36CD" w14:textId="32A74935" w:rsidR="00255CDC" w:rsidRPr="005D45A4" w:rsidRDefault="00DA01BA" w:rsidP="00255CDC">
            <w:pPr>
              <w:rPr>
                <w:rFonts w:cs="Tahoma"/>
              </w:rPr>
            </w:pPr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 at least 8</w:t>
            </w:r>
            <w:r w:rsidRPr="005D45A4">
              <w:rPr>
                <w:rFonts w:cs="Tahoma"/>
              </w:rPr>
              <w:t xml:space="preserve">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255CDC" w:rsidRPr="00CE6A17" w14:paraId="46C3CF3C" w14:textId="77777777" w:rsidTr="00C124BB">
        <w:trPr>
          <w:trHeight w:val="292"/>
        </w:trPr>
        <w:tc>
          <w:tcPr>
            <w:tcW w:w="14904" w:type="dxa"/>
            <w:gridSpan w:val="4"/>
            <w:tcBorders>
              <w:top w:val="nil"/>
              <w:bottom w:val="single" w:sz="18" w:space="0" w:color="auto"/>
            </w:tcBorders>
            <w:shd w:val="clear" w:color="auto" w:fill="FDE9D9" w:themeFill="accent6" w:themeFillTint="33"/>
          </w:tcPr>
          <w:p w14:paraId="54B5351F" w14:textId="77777777" w:rsidR="00255CDC" w:rsidRPr="001E34A2" w:rsidRDefault="00255CDC" w:rsidP="00255CDC">
            <w:pPr>
              <w:jc w:val="center"/>
              <w:rPr>
                <w:b/>
              </w:rPr>
            </w:pPr>
            <w:r w:rsidRPr="001E34A2">
              <w:rPr>
                <w:b/>
              </w:rPr>
              <w:t>Student Achievement</w:t>
            </w:r>
          </w:p>
        </w:tc>
      </w:tr>
      <w:tr w:rsidR="00255CDC" w:rsidRPr="00CE6A17" w14:paraId="35416425" w14:textId="77777777" w:rsidTr="00C124BB">
        <w:trPr>
          <w:trHeight w:val="443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073E4D1" w14:textId="0E68D637" w:rsidR="00255CDC" w:rsidRDefault="00255CDC" w:rsidP="00255CDC">
            <w:r>
              <w:t>Student Achievement – Activities of the Field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E0EAD" w14:textId="33879730" w:rsidR="00255CDC" w:rsidRPr="005D45A4" w:rsidRDefault="00255CDC" w:rsidP="00255C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t>M</w:t>
            </w:r>
            <w:r w:rsidR="00DA01BA">
              <w:t>usical Theat</w:t>
            </w:r>
            <w:r>
              <w:t xml:space="preserve">re graduates have opportunities </w:t>
            </w:r>
            <w:r w:rsidRPr="005D45A4">
              <w:rPr>
                <w:rFonts w:cs="Tahoma"/>
              </w:rPr>
              <w:t xml:space="preserve">to participate in </w:t>
            </w:r>
            <w:r>
              <w:rPr>
                <w:rFonts w:cs="Tahoma"/>
              </w:rPr>
              <w:t xml:space="preserve">musical </w:t>
            </w:r>
            <w:r w:rsidRPr="005D45A4">
              <w:rPr>
                <w:rFonts w:cs="Tahoma"/>
              </w:rPr>
              <w:t>theatrical productions.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5DA23" w14:textId="17B3A5B7" w:rsidR="00255CDC" w:rsidRPr="005D45A4" w:rsidRDefault="00255CDC" w:rsidP="00255CD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>The graduating student survey asks students about their perception of the performance/production opportunities (e.g., The program provided adequate performance/production opportunities. I was well informed of all academic and creative opportunities offered by the department.)</w:t>
            </w:r>
          </w:p>
        </w:tc>
        <w:tc>
          <w:tcPr>
            <w:tcW w:w="43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272B2C7" w14:textId="2E885D26" w:rsidR="00255CDC" w:rsidRPr="005D45A4" w:rsidRDefault="00255CDC" w:rsidP="00255CD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>For each relevant question,</w:t>
            </w:r>
            <w:r w:rsidR="00DA01BA">
              <w:rPr>
                <w:rFonts w:cs="Tahoma"/>
              </w:rPr>
              <w:t xml:space="preserve"> on a scale of 1 to 5,</w:t>
            </w:r>
            <w:r w:rsidRPr="005D45A4">
              <w:rPr>
                <w:rFonts w:cs="Tahoma"/>
              </w:rPr>
              <w:t xml:space="preserve"> at least 75% of the students will </w:t>
            </w:r>
            <w:r w:rsidR="00845DB8"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 w:rsidR="00845DB8"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 w:rsidR="00845DB8"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 w:rsidR="00845DB8"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 w:rsidR="00845DB8"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</w:t>
            </w:r>
          </w:p>
        </w:tc>
      </w:tr>
      <w:tr w:rsidR="00255CDC" w:rsidRPr="00CE6A17" w14:paraId="432A38B9" w14:textId="77777777" w:rsidTr="00C124BB">
        <w:trPr>
          <w:trHeight w:val="44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8ABAFFE" w14:textId="77777777" w:rsidR="00255CDC" w:rsidRDefault="00255CDC" w:rsidP="00255CDC"/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B60DD" w14:textId="77777777" w:rsidR="00255CDC" w:rsidRDefault="00255CDC" w:rsidP="00255CDC"/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70FE3F6" w14:textId="257142CD" w:rsidR="00255CDC" w:rsidRPr="005D45A4" w:rsidRDefault="00255CDC" w:rsidP="00255CD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>The number</w:t>
            </w:r>
            <w:r>
              <w:rPr>
                <w:rFonts w:cs="Tahoma"/>
              </w:rPr>
              <w:t xml:space="preserve"> and percent of students in the </w:t>
            </w:r>
            <w:r w:rsidRPr="005D45A4">
              <w:rPr>
                <w:rFonts w:cs="Tahoma"/>
              </w:rPr>
              <w:t>program</w:t>
            </w:r>
            <w:r>
              <w:rPr>
                <w:rFonts w:cs="Tahoma"/>
              </w:rPr>
              <w:t xml:space="preserve"> who participate in one or more </w:t>
            </w:r>
            <w:r w:rsidRPr="005D45A4">
              <w:rPr>
                <w:rFonts w:cs="Tahoma"/>
              </w:rPr>
              <w:t>productions is recorded by the departmental office.</w:t>
            </w:r>
          </w:p>
        </w:tc>
        <w:tc>
          <w:tcPr>
            <w:tcW w:w="4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A940DD" w14:textId="5EBF95D4" w:rsidR="00255CDC" w:rsidRPr="005D45A4" w:rsidRDefault="00255CDC" w:rsidP="00255CDC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D45A4">
              <w:rPr>
                <w:rFonts w:cs="Tahoma"/>
              </w:rPr>
              <w:t xml:space="preserve">Each year, at least </w:t>
            </w:r>
            <w:r w:rsidR="002644F8">
              <w:rPr>
                <w:rFonts w:cs="Tahoma"/>
              </w:rPr>
              <w:t>80</w:t>
            </w:r>
            <w:r>
              <w:rPr>
                <w:rFonts w:cs="Tahoma"/>
              </w:rPr>
              <w:t xml:space="preserve">% of seniors will participate </w:t>
            </w:r>
            <w:r w:rsidR="002644F8">
              <w:rPr>
                <w:rFonts w:cs="Tahoma"/>
              </w:rPr>
              <w:t>in two</w:t>
            </w:r>
            <w:r w:rsidRPr="005D45A4">
              <w:rPr>
                <w:rFonts w:cs="Tahoma"/>
              </w:rPr>
              <w:t xml:space="preserve"> or more productions</w:t>
            </w:r>
            <w:r>
              <w:rPr>
                <w:rFonts w:cs="Tahoma"/>
              </w:rPr>
              <w:t>.</w:t>
            </w:r>
          </w:p>
        </w:tc>
      </w:tr>
    </w:tbl>
    <w:p w14:paraId="5B817A8A" w14:textId="77777777" w:rsidR="00C52F68" w:rsidRPr="0066523C" w:rsidRDefault="00C52F68" w:rsidP="0066523C">
      <w:pPr>
        <w:jc w:val="center"/>
        <w:rPr>
          <w:sz w:val="20"/>
        </w:rPr>
      </w:pPr>
    </w:p>
    <w:sectPr w:rsidR="00C52F68" w:rsidRPr="0066523C" w:rsidSect="003B120A">
      <w:pgSz w:w="15840" w:h="12240" w:orient="landscape"/>
      <w:pgMar w:top="432" w:right="432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032D63"/>
    <w:rsid w:val="001264A7"/>
    <w:rsid w:val="00150ACA"/>
    <w:rsid w:val="0017218A"/>
    <w:rsid w:val="0017619E"/>
    <w:rsid w:val="001E34A2"/>
    <w:rsid w:val="00252B42"/>
    <w:rsid w:val="00255CDC"/>
    <w:rsid w:val="002644F8"/>
    <w:rsid w:val="002A607E"/>
    <w:rsid w:val="00375E05"/>
    <w:rsid w:val="003B120A"/>
    <w:rsid w:val="004C2A04"/>
    <w:rsid w:val="004E7768"/>
    <w:rsid w:val="005D45A4"/>
    <w:rsid w:val="005E43C9"/>
    <w:rsid w:val="0066523C"/>
    <w:rsid w:val="00665AF0"/>
    <w:rsid w:val="006C654F"/>
    <w:rsid w:val="00721B0F"/>
    <w:rsid w:val="007C0BB5"/>
    <w:rsid w:val="0083715C"/>
    <w:rsid w:val="00845DB8"/>
    <w:rsid w:val="008C512F"/>
    <w:rsid w:val="00905F8D"/>
    <w:rsid w:val="00964C23"/>
    <w:rsid w:val="009E4E54"/>
    <w:rsid w:val="009F1178"/>
    <w:rsid w:val="00A02322"/>
    <w:rsid w:val="00A65E56"/>
    <w:rsid w:val="00B074F0"/>
    <w:rsid w:val="00BD672B"/>
    <w:rsid w:val="00C124BB"/>
    <w:rsid w:val="00C52F68"/>
    <w:rsid w:val="00C81A2B"/>
    <w:rsid w:val="00C975D7"/>
    <w:rsid w:val="00CE5932"/>
    <w:rsid w:val="00CE6A17"/>
    <w:rsid w:val="00D50CA0"/>
    <w:rsid w:val="00D66FE9"/>
    <w:rsid w:val="00DA01BA"/>
    <w:rsid w:val="00DD0784"/>
    <w:rsid w:val="00E57707"/>
    <w:rsid w:val="00EF2915"/>
    <w:rsid w:val="00F4231D"/>
    <w:rsid w:val="00F56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CB8F0"/>
  <w15:docId w15:val="{FE2D9A8C-E525-455E-9CF3-F99C0564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E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52553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Abstract">
    <w:name w:val="APA Abstract"/>
    <w:basedOn w:val="Normal"/>
    <w:rsid w:val="00525532"/>
    <w:pPr>
      <w:widowControl w:val="0"/>
      <w:tabs>
        <w:tab w:val="left" w:pos="9360"/>
      </w:tabs>
      <w:spacing w:line="480" w:lineRule="auto"/>
    </w:pPr>
    <w:rPr>
      <w:rFonts w:ascii="Arial" w:hAnsi="Arial"/>
      <w:szCs w:val="20"/>
    </w:rPr>
  </w:style>
  <w:style w:type="paragraph" w:customStyle="1" w:styleId="APAheading1">
    <w:name w:val="APA heading 1"/>
    <w:basedOn w:val="Heading2"/>
    <w:next w:val="Normal"/>
    <w:rsid w:val="00525532"/>
    <w:pPr>
      <w:spacing w:before="0" w:after="0" w:line="480" w:lineRule="auto"/>
      <w:jc w:val="center"/>
    </w:pPr>
    <w:rPr>
      <w:b w:val="0"/>
      <w:i w:val="0"/>
      <w:sz w:val="24"/>
      <w:szCs w:val="20"/>
    </w:rPr>
  </w:style>
  <w:style w:type="paragraph" w:customStyle="1" w:styleId="APAheading2">
    <w:name w:val="APA heading 2"/>
    <w:basedOn w:val="Normal"/>
    <w:next w:val="Normal"/>
    <w:rsid w:val="00525532"/>
    <w:pPr>
      <w:widowControl w:val="0"/>
      <w:spacing w:line="480" w:lineRule="auto"/>
      <w:outlineLvl w:val="2"/>
    </w:pPr>
    <w:rPr>
      <w:rFonts w:ascii="Arial" w:hAnsi="Arial"/>
      <w:szCs w:val="20"/>
      <w:u w:val="single"/>
    </w:rPr>
  </w:style>
  <w:style w:type="paragraph" w:customStyle="1" w:styleId="APAheading3">
    <w:name w:val="APA heading 3"/>
    <w:basedOn w:val="APAheading2"/>
    <w:rsid w:val="00525532"/>
    <w:pPr>
      <w:ind w:firstLine="720"/>
      <w:outlineLvl w:val="3"/>
    </w:pPr>
  </w:style>
  <w:style w:type="paragraph" w:customStyle="1" w:styleId="APAParagraph">
    <w:name w:val="APA Paragraph"/>
    <w:basedOn w:val="Normal"/>
    <w:rsid w:val="00525532"/>
    <w:pPr>
      <w:widowControl w:val="0"/>
      <w:spacing w:line="480" w:lineRule="auto"/>
      <w:ind w:firstLine="720"/>
    </w:pPr>
    <w:rPr>
      <w:rFonts w:ascii="Arial" w:hAnsi="Arial"/>
      <w:szCs w:val="20"/>
    </w:rPr>
  </w:style>
  <w:style w:type="table" w:styleId="TableGrid">
    <w:name w:val="Table Grid"/>
    <w:basedOn w:val="TableNormal"/>
    <w:rsid w:val="00C52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E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Kellum</dc:creator>
  <cp:keywords/>
  <cp:lastModifiedBy>Kayla Arrington</cp:lastModifiedBy>
  <cp:revision>19</cp:revision>
  <cp:lastPrinted>2011-02-25T16:46:00Z</cp:lastPrinted>
  <dcterms:created xsi:type="dcterms:W3CDTF">2015-10-27T14:46:00Z</dcterms:created>
  <dcterms:modified xsi:type="dcterms:W3CDTF">2016-05-10T19:03:00Z</dcterms:modified>
</cp:coreProperties>
</file>